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Processo n.: ______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Procedimento de Prestação de Contas de Campanha</w:t>
      </w:r>
    </w:p>
    <w:p>
      <w:pPr>
        <w:pStyle w:val="Normal1"/>
        <w:spacing w:lineRule="auto" w:line="276" w:before="0" w:after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Candidato: ______</w:t>
      </w:r>
    </w:p>
    <w:p>
      <w:pPr>
        <w:pStyle w:val="Normal1"/>
        <w:spacing w:lineRule="auto" w:line="276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Trata-se de prestação de contas apresentadas pelo candidato requerente, referente à campanha eleitoral de 2020.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houve impugnação no prazo legal.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As referidas contas foram submetidas ao procedimento técnico de exame da Justiça Eleitoral, não sendo constatada nenhuma irregularidade que acarretasse a sua desaprovação.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Em Parecer Técnico conclusivo, o servidor da Justiça Eleitoral concluiu que a prestação de contas merece </w:t>
      </w:r>
      <w:r>
        <w:rPr>
          <w:rFonts w:ascii="Cambria" w:hAnsi="Cambria"/>
          <w:color w:val="FF0000"/>
          <w:sz w:val="24"/>
          <w:szCs w:val="24"/>
        </w:rPr>
        <w:t>aprovação com ressalvas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 vista do feito, o </w:t>
      </w:r>
      <w:r>
        <w:rPr>
          <w:rFonts w:ascii="Cambria" w:hAnsi="Cambria"/>
          <w:b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passa a oferecer o seu parecer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Compulsando os autos, é possível constatar que o candidato apresentou a prestação de contas em parcial conformidade com o que exige a legislação eleitoral em vigor.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Analisando detidamente os autos, verifica-se que realmente  .... </w:t>
      </w:r>
      <w:r>
        <w:rPr>
          <w:rFonts w:ascii="Cambria" w:hAnsi="Cambria"/>
          <w:color w:val="FF0000"/>
          <w:sz w:val="24"/>
          <w:szCs w:val="24"/>
        </w:rPr>
        <w:t>(explicar a falha ou irregularidade encontrada, mas que não compromete regularidade)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Todavia esta falha não compromete a regularidade da prestação de contas, bastando sua aprovação com ressalvas. Nesse sentido, inclusive, estabelece o art. 76, da Resolução TSE n. 23.607/2019: “Erros formais e/ou materiais corrigidos ou tidos como irrelevantes no conjunto da prestação de contas não ensejam sua desaprovação e aplicação de sanção.” 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Ademais, na análise das referidas contas, o Ministério Público Eleitoral</w:t>
      </w:r>
      <w:r>
        <w:rPr>
          <w:rFonts w:ascii="Cambria" w:hAnsi="Cambria"/>
          <w:smallCaps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bem como a unidade técnica responsável pelo exame das contas, não encontrou irregularidade na administração financeira da campanha, tampouco elementos que justifiquem a sua rejeição.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efeito, verifica-se que a prestação de contas reflete adequadamente a movimentação financeira apresentada, apresentando equívocos que não comprometeram sua análise global. Até o presente momento, não se teve conhecimento da existência de irregularidades/omissões nas receitas ou gastos eleitorais efetuados pelo candidato.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75, da Resolução TSE n. 23.607/2019, bem como a propositura de ações criminais ou cíveis, se for o caso.</w:t>
      </w:r>
    </w:p>
    <w:p>
      <w:pPr>
        <w:pStyle w:val="Normal1"/>
        <w:spacing w:lineRule="auto" w:line="276" w:before="200" w:after="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C9211E"/>
          <w:sz w:val="24"/>
          <w:szCs w:val="24"/>
        </w:rPr>
        <w:t xml:space="preserve">Em face do exposto, manifesta-se o </w:t>
      </w:r>
      <w:r>
        <w:rPr>
          <w:rFonts w:cs="Arial" w:ascii="Cambria" w:hAnsi="Cambria"/>
          <w:b/>
          <w:color w:val="C9211E"/>
          <w:sz w:val="24"/>
          <w:szCs w:val="24"/>
        </w:rPr>
        <w:t>Ministério Público Eleitoral</w:t>
      </w:r>
      <w:r>
        <w:rPr>
          <w:rFonts w:cs="Arial" w:ascii="Cambria" w:hAnsi="Cambria"/>
          <w:color w:val="C9211E"/>
          <w:sz w:val="24"/>
          <w:szCs w:val="24"/>
        </w:rPr>
        <w:t xml:space="preserve"> pela </w:t>
      </w:r>
      <w:r>
        <w:rPr>
          <w:rFonts w:cs="Arial" w:ascii="Cambria" w:hAnsi="Cambria"/>
          <w:b/>
          <w:color w:val="C9211E"/>
          <w:sz w:val="24"/>
          <w:szCs w:val="24"/>
          <w:u w:val="single"/>
        </w:rPr>
        <w:t>APROVAÇÃO COM RESSALVAS</w:t>
      </w:r>
      <w:r>
        <w:rPr>
          <w:rFonts w:cs="Arial" w:ascii="Cambria" w:hAnsi="Cambria"/>
          <w:b/>
          <w:color w:val="C9211E"/>
          <w:sz w:val="24"/>
          <w:szCs w:val="24"/>
        </w:rPr>
        <w:t xml:space="preserve"> </w:t>
      </w:r>
      <w:r>
        <w:rPr>
          <w:rFonts w:cs="Arial" w:ascii="Cambria" w:hAnsi="Cambria"/>
          <w:color w:val="C9211E"/>
          <w:sz w:val="24"/>
          <w:szCs w:val="24"/>
        </w:rPr>
        <w:t>das contas de campanha apresentadas, nos termos do artigo 74, inciso II, da Resolução nº 23.607/2019 do Tribunal Superior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373</Words>
  <Characters>2240</Characters>
  <CharactersWithSpaces>2595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2023-06-11T08:58:17Z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