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RRC nº</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Impugnante: Ministério Público Eleitoral</w:t>
      </w:r>
    </w:p>
    <w:p>
      <w:pPr>
        <w:pStyle w:val="Normal"/>
        <w:spacing w:lineRule="auto" w:line="360"/>
        <w:jc w:val="both"/>
        <w:rPr>
          <w:rFonts w:ascii="Cambria" w:hAnsi="Cambria" w:cs="Arial"/>
          <w:b/>
          <w:b/>
          <w:bCs/>
          <w:color w:val="000000"/>
          <w:szCs w:val="24"/>
        </w:rPr>
      </w:pPr>
      <w:r>
        <w:rPr>
          <w:rFonts w:cs="Arial" w:ascii="Cambria" w:hAnsi="Cambria"/>
          <w:b/>
          <w:bCs/>
          <w:color w:val="000000"/>
          <w:szCs w:val="24"/>
        </w:rPr>
        <w:t>Impugnado(a):</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t xml:space="preserve"> </w:t>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
        <w:spacing w:lineRule="auto" w:line="360"/>
        <w:jc w:val="both"/>
        <w:rPr>
          <w:rFonts w:ascii="Cambria" w:hAnsi="Cambria" w:eastAsia="Arial" w:cs="Arial"/>
          <w:b/>
          <w:b/>
          <w:bCs/>
          <w:color w:val="000000"/>
          <w:szCs w:val="24"/>
        </w:rPr>
      </w:pPr>
      <w:r>
        <w:rPr>
          <w:rFonts w:eastAsia="Arial" w:cs="Arial" w:ascii="Cambria" w:hAnsi="Cambria"/>
          <w:b/>
          <w:bCs/>
          <w:color w:val="000000"/>
          <w:szCs w:val="24"/>
        </w:rPr>
      </w:r>
    </w:p>
    <w:p>
      <w:pPr>
        <w:pStyle w:val="NormalWeb"/>
        <w:widowControl/>
        <w:bidi w:val="0"/>
        <w:spacing w:lineRule="auto" w:line="360" w:before="125" w:after="125"/>
        <w:ind w:left="0" w:right="0" w:firstLine="1701"/>
        <w:jc w:val="both"/>
        <w:rPr>
          <w:rFonts w:ascii="Cambria" w:hAnsi="Cambria"/>
        </w:rPr>
      </w:pPr>
      <w:r>
        <w:rPr>
          <w:rFonts w:cs="Arial" w:ascii="Cambria" w:hAnsi="Cambria"/>
          <w:color w:val="000000"/>
        </w:rPr>
        <w:t xml:space="preserve">O </w:t>
      </w:r>
      <w:r>
        <w:rPr>
          <w:rFonts w:cs="Arial" w:ascii="Cambria" w:hAnsi="Cambria"/>
          <w:b/>
          <w:bCs/>
          <w:color w:val="000000"/>
        </w:rPr>
        <w:t>MINISTÉRIO PÚBLICO ELEITORAL</w:t>
      </w:r>
      <w:r>
        <w:rPr>
          <w:rFonts w:cs="Arial" w:ascii="Cambria" w:hAnsi="Cambria"/>
          <w:color w:val="000000"/>
        </w:rPr>
        <w:t xml:space="preserve">, por meio do seu agente signatário, vem, respeitosamente, no uso de suas atribuições legais, com fulcro no art. 127 da Constituição Federal, bem como no art. 3º da Lei Complementar nº 64/1990 c/c o art. </w:t>
      </w:r>
      <w:r>
        <w:rPr>
          <w:rFonts w:eastAsia="Times New Roman" w:cs="Arial" w:ascii="Cambria" w:hAnsi="Cambria"/>
          <w:color w:val="000000"/>
          <w:kern w:val="0"/>
          <w:lang w:eastAsia="pt-BR" w:bidi="ar-SA"/>
        </w:rPr>
        <w:t>32, III, da Lei nº 8.625/1993</w:t>
      </w:r>
      <w:r>
        <w:rPr>
          <w:rFonts w:cs="Arial" w:ascii="Cambria" w:hAnsi="Cambria"/>
          <w:color w:val="000000"/>
        </w:rPr>
        <w:t>, propor</w:t>
      </w:r>
    </w:p>
    <w:p>
      <w:pPr>
        <w:pStyle w:val="NormalWeb"/>
        <w:spacing w:lineRule="auto" w:line="360" w:before="125" w:after="0"/>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center"/>
        <w:rPr>
          <w:rFonts w:ascii="Cambria" w:hAnsi="Cambria" w:cs="Arial"/>
          <w:b/>
          <w:b/>
          <w:bCs/>
          <w:color w:val="000000"/>
        </w:rPr>
      </w:pPr>
      <w:r>
        <w:rPr>
          <w:rFonts w:cs="Arial" w:ascii="Cambria" w:hAnsi="Cambria"/>
          <w:b/>
          <w:bCs/>
          <w:color w:val="000000"/>
        </w:rPr>
        <w:t>AÇÃO DE IMPUGNAÇÃO</w:t>
      </w:r>
    </w:p>
    <w:p>
      <w:pPr>
        <w:pStyle w:val="NormalWeb"/>
        <w:spacing w:lineRule="auto" w:line="360" w:before="0" w:after="125"/>
        <w:jc w:val="center"/>
        <w:rPr>
          <w:rFonts w:ascii="Cambria" w:hAnsi="Cambria" w:cs="Arial"/>
          <w:b/>
          <w:b/>
          <w:bCs/>
          <w:color w:val="000000"/>
        </w:rPr>
      </w:pPr>
      <w:r>
        <w:rPr>
          <w:rFonts w:cs="Arial" w:ascii="Cambria" w:hAnsi="Cambria"/>
          <w:b/>
          <w:bCs/>
          <w:color w:val="000000"/>
        </w:rPr>
        <w:t>DE REGISTRO DE CANDIDATURA</w:t>
      </w:r>
    </w:p>
    <w:p>
      <w:pPr>
        <w:pStyle w:val="NormalWeb"/>
        <w:spacing w:lineRule="auto" w:line="360" w:before="0" w:after="125"/>
        <w:jc w:val="center"/>
        <w:rPr>
          <w:rFonts w:ascii="Cambria" w:hAnsi="Cambria" w:cs="Arial"/>
          <w:b/>
          <w:b/>
          <w:bCs/>
          <w:color w:val="000000"/>
        </w:rPr>
      </w:pPr>
      <w:r>
        <w:rPr>
          <w:rFonts w:cs="Arial" w:ascii="Cambria" w:hAnsi="Cambria"/>
          <w:b/>
          <w:bCs/>
          <w:color w:val="000000"/>
        </w:rPr>
      </w:r>
    </w:p>
    <w:p>
      <w:pPr>
        <w:pStyle w:val="NormalWeb"/>
        <w:spacing w:lineRule="auto" w:line="360" w:before="125" w:after="0"/>
        <w:jc w:val="both"/>
        <w:rPr>
          <w:rFonts w:ascii="Cambria" w:hAnsi="Cambria"/>
        </w:rPr>
      </w:pPr>
      <w:r>
        <w:rPr>
          <w:rFonts w:cs="Arial" w:ascii="Cambria" w:hAnsi="Cambria"/>
          <w:color w:val="000000"/>
        </w:rPr>
        <w:t xml:space="preserve">em face de </w:t>
      </w:r>
      <w:r>
        <w:rPr>
          <w:rFonts w:cs="Arial" w:ascii="Cambria" w:hAnsi="Cambria"/>
          <w:color w:val="000000"/>
          <w:highlight w:val="yellow"/>
        </w:rPr>
        <w:t>NOME DO CANDIDATO</w:t>
      </w:r>
      <w:r>
        <w:rPr>
          <w:rFonts w:cs="Arial" w:ascii="Cambria" w:hAnsi="Cambria"/>
          <w:color w:val="000000"/>
        </w:rPr>
        <w:t xml:space="preserve">, já devidamente qualificado(a) nos autos do processo em epígrafe (RRC), candidato(a) a </w:t>
      </w:r>
      <w:r>
        <w:rPr>
          <w:rFonts w:cs="Arial" w:ascii="Cambria" w:hAnsi="Cambria"/>
          <w:color w:val="000000"/>
          <w:highlight w:val="yellow"/>
        </w:rPr>
        <w:t>XXXX</w:t>
      </w:r>
      <w:r>
        <w:rPr>
          <w:rFonts w:cs="Arial" w:ascii="Cambria" w:hAnsi="Cambria"/>
          <w:color w:val="000000"/>
        </w:rPr>
        <w:t xml:space="preserve"> no município de </w:t>
      </w:r>
      <w:r>
        <w:rPr>
          <w:rFonts w:cs="Arial" w:ascii="Cambria" w:hAnsi="Cambria"/>
          <w:color w:val="000000"/>
          <w:highlight w:val="yellow"/>
        </w:rPr>
        <w:t>XXXX/UF</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com o nº </w:t>
      </w:r>
      <w:r>
        <w:rPr>
          <w:rFonts w:cs="Arial" w:ascii="Cambria" w:hAnsi="Cambria"/>
          <w:color w:val="000000"/>
          <w:highlight w:val="yellow"/>
        </w:rPr>
        <w:t>XXXX</w:t>
      </w:r>
      <w:r>
        <w:rPr>
          <w:rFonts w:cs="Arial" w:ascii="Cambria" w:hAnsi="Cambria"/>
          <w:color w:val="000000"/>
        </w:rPr>
        <w:t>, ante as razões de fato e de direito a seguir articuladas.</w:t>
      </w:r>
    </w:p>
    <w:p>
      <w:pPr>
        <w:pStyle w:val="NormalWeb"/>
        <w:spacing w:lineRule="auto" w:line="360" w:before="125" w:after="0"/>
        <w:jc w:val="both"/>
        <w:rPr>
          <w:rFonts w:ascii="Cambria" w:hAnsi="Cambria" w:cs="Arial"/>
          <w:color w:val="000000"/>
        </w:rPr>
      </w:pPr>
      <w:r>
        <w:rPr>
          <w:rFonts w:cs="Arial" w:ascii="Cambria" w:hAnsi="Cambria"/>
          <w:color w:val="000000"/>
        </w:rPr>
      </w:r>
    </w:p>
    <w:p>
      <w:pPr>
        <w:pStyle w:val="LONormal"/>
        <w:spacing w:lineRule="auto" w:line="360" w:before="125" w:after="0"/>
        <w:jc w:val="both"/>
        <w:rPr/>
      </w:pPr>
      <w:r>
        <w:rPr>
          <w:rStyle w:val="Fontepargpadro"/>
          <w:rFonts w:cs="Arial" w:ascii="Cambria" w:hAnsi="Cambria"/>
          <w:b/>
          <w:bCs/>
          <w:color w:val="000000"/>
          <w:szCs w:val="24"/>
        </w:rPr>
        <w:t>I – DOS FATOS</w:t>
      </w:r>
    </w:p>
    <w:p>
      <w:pPr>
        <w:pStyle w:val="LONormal"/>
        <w:spacing w:lineRule="auto" w:line="360" w:before="125" w:after="0"/>
        <w:jc w:val="both"/>
        <w:rPr>
          <w:rFonts w:ascii="Cambria" w:hAnsi="Cambria" w:cs="Arial"/>
          <w:color w:val="000000"/>
        </w:rPr>
      </w:pPr>
      <w:r>
        <w:rPr>
          <w:rFonts w:cs="Arial" w:ascii="Cambria" w:hAnsi="Cambria"/>
          <w:color w:val="000000"/>
        </w:rPr>
      </w:r>
    </w:p>
    <w:p>
      <w:pPr>
        <w:sectPr>
          <w:headerReference w:type="default" r:id="rId2"/>
          <w:type w:val="nextPage"/>
          <w:pgSz w:w="11906" w:h="16838"/>
          <w:pgMar w:left="1701" w:right="1134" w:gutter="0" w:header="1259" w:top="3017" w:footer="0" w:bottom="851"/>
          <w:pgNumType w:fmt="decimal"/>
          <w:formProt w:val="false"/>
          <w:textDirection w:val="lrTb"/>
          <w:docGrid w:type="default" w:linePitch="360" w:charSpace="0"/>
        </w:sectPr>
        <w:pStyle w:val="NormalWeb"/>
        <w:widowControl/>
        <w:bidi w:val="0"/>
        <w:spacing w:lineRule="auto" w:line="360" w:before="125" w:after="0"/>
        <w:ind w:left="0" w:right="0" w:firstLine="1701"/>
        <w:jc w:val="both"/>
        <w:rPr/>
      </w:pPr>
      <w:r>
        <w:rPr>
          <w:rFonts w:cs="Arial" w:ascii="Cambria" w:hAnsi="Cambria"/>
          <w:color w:val="000000"/>
        </w:rPr>
        <w:t xml:space="preserve">O(a) requerido(a) </w:t>
      </w:r>
      <w:r>
        <w:rPr>
          <w:rFonts w:cs="Arial" w:ascii="Cambria" w:hAnsi="Cambria"/>
          <w:color w:val="000000"/>
          <w:highlight w:val="yellow"/>
        </w:rPr>
        <w:t>XXXX</w:t>
      </w:r>
      <w:r>
        <w:rPr>
          <w:rFonts w:cs="Arial" w:ascii="Cambria" w:hAnsi="Cambria"/>
          <w:color w:val="000000"/>
        </w:rPr>
        <w:t xml:space="preserve"> pleiteou, perante a Justiça Eleitoral, registro de candidatura ao cargo de </w:t>
      </w:r>
      <w:r>
        <w:rPr>
          <w:rFonts w:cs="Arial" w:ascii="Cambria" w:hAnsi="Cambria"/>
          <w:color w:val="000000"/>
          <w:highlight w:val="yellow"/>
        </w:rPr>
        <w:t>XXXX</w:t>
      </w:r>
      <w:r>
        <w:rPr>
          <w:rFonts w:cs="Arial" w:ascii="Cambria" w:hAnsi="Cambria"/>
          <w:color w:val="000000"/>
        </w:rPr>
        <w:t xml:space="preserve"> pelo partido </w:t>
      </w:r>
      <w:r>
        <w:rPr>
          <w:rFonts w:cs="Arial" w:ascii="Cambria" w:hAnsi="Cambria"/>
          <w:color w:val="000000"/>
          <w:highlight w:val="yellow"/>
        </w:rPr>
        <w:t>XXXX</w:t>
      </w:r>
      <w:r>
        <w:rPr>
          <w:rFonts w:cs="Arial" w:ascii="Cambria" w:hAnsi="Cambria"/>
          <w:color w:val="000000"/>
        </w:rPr>
        <w:t xml:space="preserve">, após regular escolha em convenção partidária, conforme edital publicado (ID </w:t>
      </w:r>
      <w:r>
        <w:rPr>
          <w:rFonts w:eastAsia="Times New Roman" w:cs="Arial" w:ascii="Cambria" w:hAnsi="Cambria"/>
          <w:color w:val="000000"/>
          <w:kern w:val="0"/>
          <w:highlight w:val="yellow"/>
          <w:lang w:eastAsia="pt-BR" w:bidi="ar-SA"/>
        </w:rPr>
        <w:t>XXX</w:t>
      </w:r>
      <w:r>
        <w:rPr>
          <w:rFonts w:cs="Arial" w:ascii="Cambria" w:hAnsi="Cambria"/>
          <w:color w:val="000000"/>
          <w:highlight w:val="yellow"/>
        </w:rPr>
        <w:t>)</w:t>
      </w:r>
      <w:r>
        <w:rPr>
          <w:rFonts w:cs="Arial" w:ascii="Cambria" w:hAnsi="Cambria"/>
          <w:color w:val="000000"/>
        </w:rPr>
        <w:t>.</w:t>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No entanto, o(a) requerido(a) encontra-se inelegível, haja vista que foi condenado(a) por abuso do poder econômico ou político, em decisão (colegiada ou transitada em julgado) proferida pelo </w:t>
      </w:r>
      <w:r>
        <w:rPr>
          <w:rStyle w:val="Fontepargpadro"/>
          <w:rFonts w:cs="Arial" w:ascii="Cambria" w:hAnsi="Cambria"/>
          <w:color w:val="000000"/>
          <w:szCs w:val="24"/>
          <w:highlight w:val="yellow"/>
        </w:rPr>
        <w:t>XXXXXXXXXXXXXXX</w:t>
      </w:r>
      <w:r>
        <w:rPr>
          <w:rStyle w:val="Fontepargpadro"/>
          <w:rFonts w:cs="Arial" w:ascii="Cambria" w:hAnsi="Cambria"/>
          <w:color w:val="000000"/>
          <w:szCs w:val="24"/>
        </w:rPr>
        <w:t xml:space="preserve">, que </w:t>
      </w:r>
      <w:r>
        <w:rPr>
          <w:rStyle w:val="Fontepargpadro"/>
          <w:rFonts w:cs="Arial" w:ascii="Cambria" w:hAnsi="Cambria"/>
          <w:b w:val="false"/>
          <w:bCs w:val="false"/>
          <w:color w:val="000000"/>
          <w:sz w:val="24"/>
          <w:szCs w:val="24"/>
        </w:rPr>
        <w:t>julgou procedente Ação de Impugnação de Mandato Eletivo (AIME)</w:t>
      </w:r>
      <w:r>
        <w:rPr>
          <w:rStyle w:val="Fontepargpadro"/>
          <w:rFonts w:cs="Arial" w:ascii="Cambria" w:hAnsi="Cambria"/>
          <w:color w:val="000000"/>
          <w:szCs w:val="24"/>
        </w:rPr>
        <w:t xml:space="preserve"> e declarou sua inelegibilidade pelo período de </w:t>
      </w:r>
      <w:r>
        <w:rPr>
          <w:rStyle w:val="Fontepargpadro"/>
          <w:rFonts w:cs="Arial" w:ascii="Cambria" w:hAnsi="Cambria"/>
          <w:color w:val="000000"/>
          <w:szCs w:val="24"/>
          <w:u w:val="single"/>
        </w:rPr>
        <w:t>8 (oito) anos,</w:t>
      </w:r>
      <w:r>
        <w:rPr>
          <w:rStyle w:val="Fontepargpadro"/>
          <w:rFonts w:cs="Arial" w:ascii="Cambria" w:hAnsi="Cambria"/>
          <w:color w:val="000000"/>
          <w:szCs w:val="24"/>
        </w:rPr>
        <w:t xml:space="preserve"> a contar das eleições de </w:t>
      </w:r>
      <w:r>
        <w:rPr>
          <w:rStyle w:val="Fontepargpadro"/>
          <w:rFonts w:cs="Arial" w:ascii="Cambria" w:hAnsi="Cambria"/>
          <w:color w:val="000000"/>
          <w:szCs w:val="24"/>
          <w:highlight w:val="yellow"/>
        </w:rPr>
        <w:t>XXXX</w:t>
      </w:r>
      <w:r>
        <w:rPr>
          <w:rStyle w:val="Fontepargpadro"/>
          <w:rFonts w:cs="Arial" w:ascii="Cambria" w:hAnsi="Cambria"/>
          <w:color w:val="000000"/>
          <w:szCs w:val="24"/>
        </w:rPr>
        <w:t>, conforme acórdão em anexo, nos termos do art. 14, § 9º, da Constituição Federal c/c art. 1º, inciso I, alínea “d”, da LC nº 64/1990, conforme a seguir:</w:t>
      </w:r>
    </w:p>
    <w:p>
      <w:pPr>
        <w:pStyle w:val="LONormal"/>
        <w:suppressAutoHyphens w:val="true"/>
        <w:spacing w:lineRule="auto" w:line="360" w:before="249" w:after="0"/>
        <w:ind w:left="2268" w:right="0" w:hanging="0"/>
        <w:jc w:val="both"/>
        <w:rPr/>
      </w:pPr>
      <w:r>
        <w:rPr>
          <w:rStyle w:val="Fontepargpadro"/>
          <w:rFonts w:cs="Arial" w:ascii="Cambria" w:hAnsi="Cambria"/>
          <w:color w:val="000000"/>
          <w:sz w:val="22"/>
          <w:szCs w:val="22"/>
        </w:rPr>
        <w:t>Art. 1º São inelegíveis:</w:t>
      </w:r>
    </w:p>
    <w:p>
      <w:pPr>
        <w:pStyle w:val="LONormal"/>
        <w:suppressAutoHyphens w:val="true"/>
        <w:spacing w:lineRule="auto" w:line="360"/>
        <w:ind w:left="2268" w:right="0" w:hanging="0"/>
        <w:jc w:val="both"/>
        <w:rPr>
          <w:sz w:val="22"/>
          <w:szCs w:val="22"/>
        </w:rPr>
      </w:pPr>
      <w:r>
        <w:rPr>
          <w:rFonts w:cs="Arial" w:ascii="Cambria" w:hAnsi="Cambria"/>
          <w:color w:val="000000"/>
          <w:sz w:val="22"/>
          <w:szCs w:val="22"/>
        </w:rPr>
        <w:t>I – para qualquer cargo:</w:t>
      </w:r>
    </w:p>
    <w:p>
      <w:pPr>
        <w:pStyle w:val="LONormal"/>
        <w:suppressAutoHyphens w:val="true"/>
        <w:spacing w:lineRule="auto" w:line="360"/>
        <w:ind w:left="2268" w:right="0" w:hanging="0"/>
        <w:jc w:val="both"/>
        <w:rPr>
          <w:sz w:val="22"/>
          <w:szCs w:val="22"/>
        </w:rPr>
      </w:pPr>
      <w:r>
        <w:rPr>
          <w:rFonts w:cs="Arial" w:ascii="Cambria" w:hAnsi="Cambria"/>
          <w:color w:val="000000"/>
          <w:sz w:val="22"/>
          <w:szCs w:val="22"/>
        </w:rPr>
        <w:t>[...]</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d) os que tenham contra sua pessoa representação julgada procedente pela Justiça Eleitoral, em decisão transitada em julgado ou proferida por órgão colegiado, em processo de apuração de abuso do poder econômico ou político, para a eleição na qual concorrem ou tenham sido diplomados, bem como para as que se realizarem nos 8 (oito) anos seguintes;</w:t>
      </w:r>
    </w:p>
    <w:p>
      <w:pPr>
        <w:pStyle w:val="LONormal"/>
        <w:suppressAutoHyphens w:val="true"/>
        <w:spacing w:lineRule="auto" w:line="360"/>
        <w:ind w:left="2268" w:right="0" w:hanging="0"/>
        <w:jc w:val="both"/>
        <w:rPr/>
      </w:pPr>
      <w:r>
        <w:rPr>
          <w:rStyle w:val="Fontepargpadro"/>
          <w:rFonts w:cs="Arial" w:ascii="Cambria" w:hAnsi="Cambria"/>
          <w:color w:val="000000"/>
          <w:sz w:val="22"/>
          <w:szCs w:val="22"/>
        </w:rPr>
        <w:t>(Redação dada pela Lei Complementar nº 135, de 2010)</w:t>
      </w:r>
    </w:p>
    <w:p>
      <w:pPr>
        <w:pStyle w:val="LONormal"/>
        <w:suppressAutoHyphens w:val="true"/>
        <w:spacing w:lineRule="auto" w:line="360"/>
        <w:ind w:left="2268" w:right="0" w:hanging="0"/>
        <w:jc w:val="both"/>
        <w:rPr>
          <w:rFonts w:ascii="Cambria" w:hAnsi="Cambria"/>
          <w:sz w:val="22"/>
          <w:szCs w:val="22"/>
        </w:rPr>
      </w:pPr>
      <w:r>
        <w:rPr>
          <w:rFonts w:ascii="Cambria" w:hAnsi="Cambria"/>
          <w:sz w:val="22"/>
          <w:szCs w:val="22"/>
        </w:rPr>
      </w:r>
    </w:p>
    <w:p>
      <w:pPr>
        <w:pStyle w:val="LONormal"/>
        <w:spacing w:lineRule="auto" w:line="360" w:before="249" w:after="0"/>
        <w:ind w:left="2268" w:right="0" w:hanging="0"/>
        <w:jc w:val="both"/>
        <w:rPr>
          <w:sz w:val="22"/>
          <w:szCs w:val="22"/>
        </w:rPr>
      </w:pPr>
      <w:r>
        <w:rPr>
          <w:rFonts w:cs="Arial" w:ascii="Cambria" w:hAnsi="Cambria"/>
          <w:b w:val="false"/>
          <w:bCs w:val="false"/>
          <w:color w:val="000000"/>
          <w:sz w:val="22"/>
          <w:szCs w:val="22"/>
        </w:rPr>
        <w:t xml:space="preserve">[...] </w:t>
      </w:r>
      <w:r>
        <w:rPr>
          <w:rFonts w:cs="Arial" w:ascii="Cambria" w:hAnsi="Cambria"/>
          <w:b w:val="false"/>
          <w:bCs w:val="false"/>
          <w:i w:val="false"/>
          <w:caps w:val="false"/>
          <w:smallCaps w:val="false"/>
          <w:color w:val="000000"/>
          <w:spacing w:val="0"/>
          <w:sz w:val="22"/>
          <w:szCs w:val="22"/>
        </w:rPr>
        <w:t>a causa de inelegibilidade do art. 1º, inciso I, alínea d, da LC nº 64/90 incidem os condenados por abuso em ação de investigação judicial eleitoral e em ação de impugnação de mandato eletivo. Com base na compreensão do princípio da isonomia, não há fator razoável de diferenciação para concluir que está inelegível o cidadão condenado por abuso de poder econômico nas eleições de 2008 em AIJE, enquanto está elegível aquele condenado também por abuso de poder no mesmo pleito, porém em AIME, pois ambas as ações têm o abuso como causa de pedir, tramitam sob o mesmo procedimento (art. 22 da LC nº 64/90) e acarretam idêntica consequência jurídica - cassação de registro e de diploma -, desde que o abuso seja grave o suficiente para ensejar a severa sanção.</w:t>
      </w:r>
    </w:p>
    <w:p>
      <w:pPr>
        <w:pStyle w:val="Corpodotexto"/>
        <w:widowControl/>
        <w:spacing w:lineRule="auto" w:line="360"/>
        <w:ind w:left="2268" w:right="0" w:hanging="0"/>
        <w:jc w:val="both"/>
        <w:rPr>
          <w:sz w:val="22"/>
          <w:szCs w:val="22"/>
        </w:rPr>
      </w:pPr>
      <w:r>
        <w:rPr>
          <w:rFonts w:cs="Arial" w:ascii="Cambria" w:hAnsi="Cambria"/>
          <w:b w:val="false"/>
          <w:bCs w:val="false"/>
          <w:i w:val="false"/>
          <w:caps w:val="false"/>
          <w:smallCaps w:val="false"/>
          <w:color w:val="000000"/>
          <w:spacing w:val="0"/>
          <w:sz w:val="22"/>
          <w:szCs w:val="22"/>
        </w:rPr>
        <w:t>4. Não se trata de interpretar extensivamente norma restritiva de direito, como são as causas de inelegibilidades, mas buscar a interpretação lógica da norma, visando à harmonia do sistema de inelegibilidades e evitando eventuais contradições jurídicas, com base nos valores previstos no art. 14, § 9º, da CF/88.</w:t>
      </w:r>
    </w:p>
    <w:p>
      <w:pPr>
        <w:pStyle w:val="Corpodotexto"/>
        <w:widowControl/>
        <w:spacing w:lineRule="auto" w:line="360"/>
        <w:ind w:left="2268" w:right="0" w:hanging="0"/>
        <w:jc w:val="both"/>
        <w:rPr>
          <w:sz w:val="22"/>
          <w:szCs w:val="22"/>
        </w:rPr>
      </w:pPr>
      <w:r>
        <w:rPr>
          <w:rFonts w:cs="Arial" w:ascii="Cambria" w:hAnsi="Cambria"/>
          <w:b w:val="false"/>
          <w:bCs w:val="false"/>
          <w:i w:val="false"/>
          <w:caps w:val="false"/>
          <w:smallCaps w:val="false"/>
          <w:color w:val="000000"/>
          <w:spacing w:val="0"/>
          <w:sz w:val="22"/>
          <w:szCs w:val="22"/>
        </w:rPr>
        <w:t>5. Tanto a ação de investigação judicial eleitoral quanto a ação de impugnação de mandato eletivo buscam tutelar justamente a normalidade e legitimidade do pleito contra o abuso de poder econômico assim reconhecido pela Justiça Eleitoral, razão pela qual as condenações por abuso nessas ações podem acarretar a causa de inelegibilidade referida no art. 1º, inciso I, alínea d, da LC nº 64/90. […]</w:t>
      </w:r>
    </w:p>
    <w:p>
      <w:pPr>
        <w:pStyle w:val="Corpodotexto"/>
        <w:widowControl/>
        <w:suppressAutoHyphens w:val="true"/>
        <w:spacing w:lineRule="auto" w:line="360"/>
        <w:ind w:left="2268" w:right="0" w:hanging="0"/>
        <w:jc w:val="both"/>
        <w:rPr/>
      </w:pPr>
      <w:r>
        <w:rPr>
          <w:rStyle w:val="Fontepargpadro"/>
          <w:rFonts w:cs="Arial" w:ascii="Cambria" w:hAnsi="Cambria"/>
          <w:b w:val="false"/>
          <w:bCs w:val="false"/>
          <w:i w:val="false"/>
          <w:caps w:val="false"/>
          <w:smallCaps w:val="false"/>
          <w:color w:val="000000"/>
          <w:spacing w:val="0"/>
          <w:sz w:val="22"/>
          <w:szCs w:val="22"/>
        </w:rPr>
        <w:t>(TSE – Recurso Ordinário nº 29659 – FLORIANÓPOLIS – SC – Acórdão de 3.3.2016 – Relator Min. Gilmar Mendes)</w:t>
      </w:r>
    </w:p>
    <w:p>
      <w:pPr>
        <w:pStyle w:val="LONormal"/>
        <w:suppressAutoHyphens w:val="true"/>
        <w:spacing w:lineRule="auto" w:line="360" w:before="374" w:after="0"/>
        <w:ind w:left="0" w:right="0" w:firstLine="1701"/>
        <w:jc w:val="both"/>
        <w:rPr/>
      </w:pPr>
      <w:r>
        <w:rPr>
          <w:rStyle w:val="Fontepargpadro"/>
          <w:rFonts w:cs="Arial" w:ascii="Cambria" w:hAnsi="Cambria"/>
          <w:szCs w:val="24"/>
          <w:shd w:fill="FFFFFF" w:val="clear"/>
        </w:rPr>
        <w:t xml:space="preserve">Outrossim, </w:t>
      </w:r>
      <w:r>
        <w:rPr>
          <w:rStyle w:val="Fontepargpadro"/>
          <w:rFonts w:cs="Arial" w:ascii="Cambria" w:hAnsi="Cambria"/>
          <w:szCs w:val="24"/>
          <w:u w:val="single"/>
          <w:shd w:fill="FFFFFF" w:val="clear"/>
        </w:rPr>
        <w:t>o prazo de inelegibilidade</w:t>
      </w:r>
      <w:r>
        <w:rPr>
          <w:rStyle w:val="Fontepargpadro"/>
          <w:rFonts w:cs="Arial" w:ascii="Cambria" w:hAnsi="Cambria"/>
          <w:szCs w:val="24"/>
          <w:shd w:fill="FFFFFF" w:val="clear"/>
        </w:rPr>
        <w:t xml:space="preserve"> decorrente da condenação por abuso do poder econômico ou político </w:t>
      </w:r>
      <w:r>
        <w:rPr>
          <w:rStyle w:val="Fontepargpadro"/>
          <w:rFonts w:cs="Arial" w:ascii="Cambria" w:hAnsi="Cambria"/>
          <w:szCs w:val="24"/>
          <w:u w:val="single"/>
          <w:shd w:fill="FFFFFF" w:val="clear"/>
        </w:rPr>
        <w:t>tem início no dia da eleição em que este se verificou e finda no dia de igual número no oitavo ano seguinte</w:t>
      </w:r>
      <w:r>
        <w:rPr>
          <w:rStyle w:val="Fontepargpadro"/>
          <w:rFonts w:cs="Arial" w:ascii="Cambria" w:hAnsi="Cambria"/>
          <w:szCs w:val="24"/>
          <w:shd w:fill="FFFFFF" w:val="clear"/>
        </w:rPr>
        <w:t>, razão pela qual se evidencia a inelegibilidade do(a) requerido(a) no presente caso.</w:t>
      </w:r>
    </w:p>
    <w:p>
      <w:pPr>
        <w:pStyle w:val="LONormal"/>
        <w:suppressAutoHyphens w:val="true"/>
        <w:spacing w:lineRule="auto" w:line="360" w:before="125" w:after="0"/>
        <w:ind w:left="0" w:right="0" w:firstLine="1701"/>
        <w:jc w:val="both"/>
        <w:rPr/>
      </w:pPr>
      <w:r>
        <w:rPr>
          <w:rStyle w:val="Fontepargpadro"/>
          <w:rFonts w:cs="Arial" w:ascii="Cambria" w:hAnsi="Cambria"/>
          <w:szCs w:val="24"/>
          <w:shd w:fill="FFFFFF" w:val="clear"/>
        </w:rPr>
        <w:t xml:space="preserve">Nesse sentido, dispõe a Súmula nº 19 do TSE, </w:t>
      </w:r>
      <w:r>
        <w:rPr>
          <w:rStyle w:val="Fontepargpadro"/>
          <w:rFonts w:cs="Arial" w:ascii="Cambria" w:hAnsi="Cambria"/>
          <w:i/>
          <w:iCs/>
          <w:szCs w:val="24"/>
          <w:shd w:fill="FFFFFF" w:val="clear"/>
        </w:rPr>
        <w:t>verbis</w:t>
      </w:r>
      <w:r>
        <w:rPr>
          <w:rStyle w:val="Fontepargpadro"/>
          <w:rFonts w:cs="Arial" w:ascii="Cambria" w:hAnsi="Cambria"/>
          <w:szCs w:val="24"/>
          <w:shd w:fill="FFFFFF" w:val="clear"/>
        </w:rPr>
        <w:t>:</w:t>
      </w:r>
    </w:p>
    <w:p>
      <w:pPr>
        <w:pStyle w:val="LONormal"/>
        <w:suppressAutoHyphens w:val="true"/>
        <w:spacing w:lineRule="auto" w:line="360" w:before="249" w:after="0"/>
        <w:ind w:left="2268" w:right="0" w:hanging="0"/>
        <w:jc w:val="both"/>
        <w:rPr/>
      </w:pPr>
      <w:r>
        <w:rPr>
          <w:rStyle w:val="Fontepargpadro"/>
          <w:rFonts w:cs="Arial" w:ascii="Cambria" w:hAnsi="Cambria"/>
          <w:sz w:val="22"/>
          <w:szCs w:val="22"/>
          <w:shd w:fill="FFFFFF" w:val="clear"/>
        </w:rPr>
        <w:t>Súmula nº 19. O prazo de inelegibilidade decorrente da condenação por abuso do poder econômico ou político tem início no dia da eleição em que este se verificou e finda no dia de igual número no oitavo ano seguinte (art. 22, XIV, da LC no 64/90).</w:t>
      </w:r>
    </w:p>
    <w:p>
      <w:pPr>
        <w:pStyle w:val="LONormal"/>
        <w:widowControl/>
        <w:suppressAutoHyphens w:val="true"/>
        <w:bidi w:val="0"/>
        <w:spacing w:lineRule="auto" w:line="360" w:before="374" w:after="0"/>
        <w:ind w:left="0" w:right="0" w:firstLine="1701"/>
        <w:jc w:val="both"/>
        <w:rPr/>
      </w:pPr>
      <w:r>
        <w:rPr>
          <w:rStyle w:val="Fontepargpadro"/>
          <w:rFonts w:cs="Arial" w:ascii="Cambria" w:hAnsi="Cambria"/>
          <w:color w:val="000000"/>
          <w:szCs w:val="24"/>
        </w:rPr>
        <w:t>Destarte, o(a) requerido(a) enquadra-se na causa de inelegibilidade prevista na alínea “d” do inciso I do art. 1º da LC 64/90.</w:t>
      </w:r>
    </w:p>
    <w:p>
      <w:pPr>
        <w:pStyle w:val="NormalWeb"/>
        <w:widowControl/>
        <w:bidi w:val="0"/>
        <w:spacing w:lineRule="auto" w:line="360" w:before="125" w:after="0"/>
        <w:ind w:left="0" w:right="0" w:firstLine="1701"/>
        <w:jc w:val="both"/>
        <w:rPr>
          <w:rFonts w:ascii="Cambria" w:hAnsi="Cambria"/>
        </w:rPr>
      </w:pPr>
      <w:r>
        <w:rPr>
          <w:rFonts w:ascii="Cambria" w:hAnsi="Cambria"/>
        </w:rPr>
      </w:r>
    </w:p>
    <w:p>
      <w:pPr>
        <w:pStyle w:val="LONormal"/>
        <w:spacing w:lineRule="auto" w:line="360" w:before="125" w:after="0"/>
        <w:jc w:val="both"/>
        <w:rPr/>
      </w:pPr>
      <w:r>
        <w:rPr>
          <w:rStyle w:val="Fontepargpadro"/>
          <w:rFonts w:cs="Arial" w:ascii="Cambria" w:hAnsi="Cambria"/>
          <w:b/>
          <w:bCs/>
          <w:color w:val="000000"/>
          <w:szCs w:val="24"/>
        </w:rPr>
        <w:t>II – PEDIDO</w:t>
      </w:r>
    </w:p>
    <w:p>
      <w:pPr>
        <w:pStyle w:val="LONormal"/>
        <w:spacing w:lineRule="auto" w:line="360" w:before="125" w:after="0"/>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color w:val="000000"/>
          <w:szCs w:val="24"/>
        </w:rPr>
        <w:t xml:space="preserve">Ante o exposto, o </w:t>
      </w:r>
      <w:r>
        <w:rPr>
          <w:rStyle w:val="Fontepargpadro"/>
          <w:rFonts w:cs="Arial" w:ascii="Cambria" w:hAnsi="Cambria"/>
          <w:b/>
          <w:bCs/>
          <w:color w:val="000000"/>
          <w:szCs w:val="24"/>
        </w:rPr>
        <w:t xml:space="preserve">Ministério Público Eleitoral </w:t>
      </w:r>
      <w:r>
        <w:rPr>
          <w:rStyle w:val="Fontepargpadro"/>
          <w:rFonts w:cs="Arial" w:ascii="Cambria" w:hAnsi="Cambria"/>
          <w:color w:val="000000"/>
          <w:szCs w:val="24"/>
        </w:rPr>
        <w:t>requer:</w:t>
      </w:r>
    </w:p>
    <w:p>
      <w:pPr>
        <w:pStyle w:val="LONormal"/>
        <w:suppressAutoHyphens w:val="true"/>
        <w:spacing w:lineRule="auto" w:line="360" w:before="125" w:after="0"/>
        <w:ind w:left="0" w:right="0" w:firstLine="1701"/>
        <w:jc w:val="both"/>
        <w:rPr>
          <w:rFonts w:ascii="Cambria" w:hAnsi="Cambria"/>
        </w:rPr>
      </w:pPr>
      <w:r>
        <w:rPr>
          <w:rFonts w:ascii="Cambria" w:hAnsi="Cambria"/>
        </w:rPr>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a)</w:t>
      </w:r>
      <w:r>
        <w:rPr>
          <w:rStyle w:val="Fontepargpadro"/>
          <w:rFonts w:cs="Arial" w:ascii="Cambria" w:hAnsi="Cambria"/>
          <w:color w:val="000000"/>
          <w:szCs w:val="24"/>
        </w:rPr>
        <w:t xml:space="preserve"> seja o(a) requerido(a) citado(a) no endereço constante do seu pedido de registro para apresentar defesa, se quiser, no prazo legal, nos termos do art. 4º da LC nº 64/1990 e do art. 41, </w:t>
      </w:r>
      <w:r>
        <w:rPr>
          <w:rStyle w:val="Fontepargpadro"/>
          <w:rFonts w:cs="Arial" w:ascii="Cambria" w:hAnsi="Cambria"/>
          <w:i/>
          <w:iCs/>
          <w:color w:val="000000"/>
          <w:szCs w:val="24"/>
        </w:rPr>
        <w:t>caput</w:t>
      </w:r>
      <w:r>
        <w:rPr>
          <w:rStyle w:val="Fontepargpadro"/>
          <w:rFonts w:cs="Arial" w:ascii="Cambria" w:hAnsi="Cambria"/>
          <w:color w:val="000000"/>
          <w:szCs w:val="24"/>
        </w:rPr>
        <w:t>, da Res.-TSE nº 23.609/2019;</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b)</w:t>
      </w:r>
      <w:r>
        <w:rPr>
          <w:rStyle w:val="Fontepargpadro"/>
          <w:rFonts w:cs="Arial" w:ascii="Cambria" w:hAnsi="Cambria"/>
          <w:color w:val="000000"/>
          <w:szCs w:val="24"/>
        </w:rPr>
        <w:t xml:space="preserve"> a produção de todos os meios de provas admitidas em direito, especialmente a juntada da prova documental em anexo;</w:t>
      </w:r>
    </w:p>
    <w:p>
      <w:pPr>
        <w:pStyle w:val="LONormal"/>
        <w:suppressAutoHyphens w:val="true"/>
        <w:spacing w:lineRule="auto" w:line="360" w:before="125" w:after="0"/>
        <w:ind w:left="0" w:right="0" w:hanging="0"/>
        <w:jc w:val="both"/>
        <w:rPr/>
      </w:pPr>
      <w:r>
        <w:rPr>
          <w:rStyle w:val="Fontepargpadro"/>
          <w:rFonts w:cs="Arial" w:ascii="Cambria" w:hAnsi="Cambria"/>
          <w:b/>
          <w:bCs/>
          <w:color w:val="000000"/>
          <w:szCs w:val="24"/>
          <w:highlight w:val="yellow"/>
          <w:u w:val="single"/>
        </w:rPr>
        <w:t>OBS: OU caso não detenha já todas as informações e documentação necessária, mas apenas informação do Sisconta ou de site de tribunal:</w:t>
      </w:r>
    </w:p>
    <w:p>
      <w:pPr>
        <w:pStyle w:val="LONormal"/>
        <w:suppressAutoHyphens w:val="true"/>
        <w:spacing w:lineRule="auto" w:line="360" w:before="125" w:after="0"/>
        <w:ind w:left="0" w:right="0" w:firstLine="1701"/>
        <w:jc w:val="both"/>
        <w:rPr/>
      </w:pPr>
      <w:r>
        <w:rPr>
          <w:rStyle w:val="Fontepargpadro"/>
          <w:rFonts w:cs="Arial" w:ascii="Cambria" w:hAnsi="Cambria"/>
          <w:b/>
          <w:bCs/>
          <w:color w:val="000000"/>
          <w:szCs w:val="24"/>
        </w:rPr>
        <w:t xml:space="preserve">b) </w:t>
      </w:r>
      <w:r>
        <w:rPr>
          <w:rStyle w:val="Fontepargpadro"/>
          <w:rFonts w:cs="Arial" w:ascii="Cambria" w:hAnsi="Cambria"/>
          <w:color w:val="000000"/>
          <w:szCs w:val="24"/>
        </w:rPr>
        <w:t xml:space="preserve">requer, nos termos do art. 3º, § 3º, da LC nº 64/1990, a produção das seguintes provas: </w:t>
      </w:r>
      <w:r>
        <w:rPr>
          <w:rStyle w:val="Fontepargpadro"/>
          <w:rFonts w:cs="Arial" w:ascii="Cambria" w:hAnsi="Cambria"/>
          <w:b/>
          <w:bCs/>
          <w:color w:val="000000"/>
          <w:szCs w:val="24"/>
        </w:rPr>
        <w:t>(b.1)</w:t>
      </w:r>
      <w:r>
        <w:rPr>
          <w:rStyle w:val="Fontepargpadro"/>
          <w:rFonts w:cs="Arial" w:ascii="Cambria" w:hAnsi="Cambria"/>
          <w:color w:val="000000"/>
          <w:szCs w:val="24"/>
        </w:rPr>
        <w:t xml:space="preserve"> a juntada dos documentos em anexo; </w:t>
      </w:r>
      <w:r>
        <w:rPr>
          <w:rStyle w:val="Fontepargpadro"/>
          <w:rFonts w:cs="Arial" w:ascii="Cambria" w:hAnsi="Cambria"/>
          <w:b/>
          <w:bCs/>
          <w:color w:val="000000"/>
          <w:szCs w:val="24"/>
        </w:rPr>
        <w:t>(b.2)</w:t>
      </w:r>
      <w:r>
        <w:rPr>
          <w:rStyle w:val="Fontepargpadro"/>
          <w:rFonts w:cs="Arial" w:ascii="Cambria" w:hAnsi="Cambria"/>
          <w:color w:val="000000"/>
          <w:szCs w:val="24"/>
        </w:rPr>
        <w:t xml:space="preserve"> seja expedido ofício ao (</w:t>
      </w:r>
      <w:r>
        <w:rPr>
          <w:rStyle w:val="Fontepargpadro"/>
          <w:rFonts w:cs="Arial" w:ascii="Cambria" w:hAnsi="Cambria"/>
          <w:color w:val="000000"/>
          <w:szCs w:val="24"/>
          <w:highlight w:val="yellow"/>
        </w:rPr>
        <w:t>JUIZ OU TRIBUNAL</w:t>
      </w:r>
      <w:r>
        <w:rPr>
          <w:rStyle w:val="Fontepargpadro"/>
          <w:rFonts w:cs="Arial" w:ascii="Cambria" w:hAnsi="Cambria"/>
          <w:color w:val="000000"/>
          <w:szCs w:val="24"/>
        </w:rPr>
        <w:t xml:space="preserve">) requisitando o encaminhamento de certidão narrativa do Processo nº </w:t>
      </w:r>
      <w:r>
        <w:rPr>
          <w:rStyle w:val="Fontepargpadro"/>
          <w:rFonts w:cs="Arial" w:ascii="Cambria" w:hAnsi="Cambria"/>
          <w:color w:val="000000"/>
          <w:szCs w:val="24"/>
          <w:highlight w:val="yellow"/>
        </w:rPr>
        <w:t>XXXXXXXXXXXXX</w:t>
      </w:r>
      <w:r>
        <w:rPr>
          <w:rStyle w:val="Fontepargpadro"/>
          <w:rFonts w:cs="Arial" w:ascii="Cambria" w:hAnsi="Cambria"/>
          <w:color w:val="000000"/>
          <w:szCs w:val="24"/>
        </w:rPr>
        <w:t>, no qual o(a) requerido(a) foi condenado(a) por abuso de poder econômico ou político, assim como cópia da respectiva sentença ou acórdão condenatório; e</w:t>
      </w:r>
    </w:p>
    <w:p>
      <w:pPr>
        <w:pStyle w:val="LONormal"/>
        <w:widowControl/>
        <w:suppressAutoHyphens w:val="true"/>
        <w:overflowPunct w:val="false"/>
        <w:bidi w:val="0"/>
        <w:spacing w:lineRule="auto" w:line="360" w:before="125" w:after="0"/>
        <w:ind w:left="0" w:right="0" w:firstLine="1701"/>
        <w:jc w:val="both"/>
        <w:rPr>
          <w:rFonts w:ascii="Cambria" w:hAnsi="Cambria"/>
        </w:rPr>
      </w:pPr>
      <w:r>
        <w:rPr>
          <w:rStyle w:val="Fontepargpadro"/>
          <w:rFonts w:cs="Arial" w:ascii="Cambria" w:hAnsi="Cambria"/>
          <w:b/>
          <w:bCs/>
          <w:color w:val="000000"/>
          <w:szCs w:val="24"/>
        </w:rPr>
        <w:t>c)</w:t>
      </w:r>
      <w:r>
        <w:rPr>
          <w:rStyle w:val="Fontepargpadro"/>
          <w:rFonts w:cs="Arial" w:ascii="Cambria" w:hAnsi="Cambria"/>
          <w:color w:val="000000"/>
          <w:szCs w:val="24"/>
        </w:rPr>
        <w:t xml:space="preserve"> após o regular trâmite processual, seja </w:t>
      </w:r>
      <w:r>
        <w:rPr>
          <w:rStyle w:val="Fontepargpadro"/>
          <w:rFonts w:cs="Arial" w:ascii="Cambria" w:hAnsi="Cambria"/>
          <w:b/>
          <w:bCs/>
          <w:color w:val="000000"/>
          <w:szCs w:val="24"/>
        </w:rPr>
        <w:t>indeferido</w:t>
      </w:r>
      <w:r>
        <w:rPr>
          <w:rStyle w:val="Fontepargpadro"/>
          <w:rFonts w:cs="Arial" w:ascii="Cambria" w:hAnsi="Cambria"/>
          <w:color w:val="000000"/>
          <w:szCs w:val="24"/>
        </w:rPr>
        <w:t xml:space="preserve"> em caráter definitivo o pedido de registro de candidatura do(a) requerido(a).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p>
    <w:sectPr>
      <w:headerReference w:type="default" r:id="rId3"/>
      <w:footerReference w:type="default" r:id="rId4"/>
      <w:type w:val="nextPage"/>
      <w:pgSz w:w="11906" w:h="16838"/>
      <w:pgMar w:left="1701" w:right="1134" w:gutter="0" w:header="720" w:top="1418" w:footer="1134" w:bottom="164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Arial">
    <w:charset w:val="01"/>
    <w:family w:val="roman"/>
    <w:pitch w:val="default"/>
  </w:font>
  <w:font w:name="Courier New">
    <w:charset w:val="01"/>
    <w:family w:val="roman"/>
    <w:pitch w:val="default"/>
  </w:font>
  <w:font w:name="Tahoma">
    <w:charset w:val="01"/>
    <w:family w:val="roman"/>
    <w:pitch w:val="default"/>
  </w:font>
  <w:font w:name="Cambria">
    <w:charset w:val="01"/>
    <w:family w:val="roman"/>
    <w:pitch w:val="default"/>
  </w:font>
  <w:font w:name="Calibri">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right"/>
      <w:rPr/>
    </w:pPr>
    <w:r>
      <w:rPr>
        <w:sz w:val="20"/>
        <w:szCs w:val="20"/>
      </w:rPr>
      <w:fldChar w:fldCharType="begin"/>
    </w:r>
    <w:r>
      <w:rPr>
        <w:sz w:val="20"/>
        <w:szCs w:val="20"/>
      </w:rPr>
      <w:instrText> PAGE </w:instrText>
    </w:r>
    <w:r>
      <w:rPr>
        <w:sz w:val="20"/>
        <w:szCs w:val="20"/>
      </w:rPr>
      <w:fldChar w:fldCharType="separate"/>
    </w:r>
    <w:r>
      <w:rPr>
        <w:sz w:val="20"/>
        <w:szCs w:val="20"/>
      </w:rPr>
      <w:t>4</w:t>
    </w:r>
    <w:r>
      <w:rPr>
        <w:sz w:val="20"/>
        <w:szCs w:val="20"/>
      </w:rPr>
      <w:fldChar w:fldCharType="end"/>
    </w:r>
    <w:r>
      <w:rPr>
        <w:rFonts w:cs="Arial" w:ascii="Arial" w:hAnsi="Arial"/>
        <w:sz w:val="20"/>
        <w:szCs w:val="20"/>
      </w:rPr>
      <w:t>/</w:t>
    </w:r>
    <w:r>
      <w:rPr>
        <w:sz w:val="20"/>
        <w:szCs w:val="20"/>
      </w:rPr>
      <w:fldChar w:fldCharType="begin"/>
    </w:r>
    <w:r>
      <w:rPr>
        <w:sz w:val="20"/>
        <w:szCs w:val="20"/>
      </w:rPr>
      <w:instrText> NUMPAGES </w:instrText>
    </w:r>
    <w:r>
      <w:rPr>
        <w:sz w:val="20"/>
        <w:szCs w:val="20"/>
      </w:rPr>
      <w:fldChar w:fldCharType="separate"/>
    </w:r>
    <w:r>
      <w:rPr>
        <w:sz w:val="20"/>
        <w:szCs w:val="20"/>
      </w:rPr>
      <w:t>4</w:t>
    </w:r>
    <w:r>
      <w:rPr>
        <w:sz w:val="20"/>
        <w:szCs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2"/>
      <w:numPr>
        <w:ilvl w:val="1"/>
        <w:numId w:val="2"/>
      </w:numPr>
      <w:tabs>
        <w:tab w:val="clear" w:pos="708"/>
        <w:tab w:val="left" w:pos="0" w:leader="none"/>
      </w:tabs>
      <w:ind w:left="0" w:right="0" w:hanging="0"/>
      <w:jc w:val="left"/>
      <w:rPr>
        <w:rFonts w:ascii="Calibri" w:hAnsi="Calibri" w:cs="Calibri"/>
        <w:color w:val="auto"/>
      </w:rPr>
    </w:pPr>
    <w:r>
      <w:rPr>
        <w:rFonts w:cs="Calibri" w:ascii="Calibri" w:hAnsi="Calibri"/>
        <w:color w:val="auto"/>
      </w:rPr>
      <w:t>MINISTÉRIO PÚBLICO ELEITORAL</w:t>
    </w:r>
  </w:p>
  <w:p>
    <w:pPr>
      <w:pStyle w:val="Cabealho"/>
      <w:rPr>
        <w:rFonts w:ascii="Calibri" w:hAnsi="Calibri" w:cs="Calibri"/>
      </w:rPr>
    </w:pPr>
    <w:r>
      <w:rPr>
        <w:rFonts w:cs="Calibri" w:ascii="Calibri" w:hAnsi="Calibr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pStyle w:val="Ttulo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numPr>
        <w:ilvl w:val="1"/>
        <w:numId w:val="1"/>
      </w:numPr>
      <w:suppressAutoHyphens w:val="true"/>
      <w:outlineLvl w:val="1"/>
    </w:pPr>
    <w:rPr>
      <w:rFonts w:ascii="Arial" w:hAnsi="Arial" w:eastAsia="Times New Roman" w:cs="Arial"/>
      <w:color w:val="FF0000"/>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Fontepargpadro">
    <w:name w:val="Fonte parág. padrão"/>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ONormal">
    <w:name w:val="LO-Normal"/>
    <w:qFormat/>
    <w:pPr>
      <w:keepNext w:val="false"/>
      <w:keepLines w:val="false"/>
      <w:pageBreakBefore w:val="false"/>
      <w:widowControl w:val="false"/>
      <w:suppressAutoHyphens w:val="true"/>
      <w:overflowPunct w:val="false"/>
      <w:bidi w:val="0"/>
      <w:snapToGrid w:val="true"/>
      <w:spacing w:lineRule="auto" w:line="240" w:before="0" w:after="0"/>
      <w:jc w:val="left"/>
      <w:textAlignment w:val="baseline"/>
    </w:pPr>
    <w:rPr>
      <w:rFonts w:ascii="Times New Roman" w:hAnsi="Times New Roman" w:eastAsia="SimSun" w:cs="Mangal"/>
      <w:b w:val="false"/>
      <w:bCs w:val="false"/>
      <w:i w:val="false"/>
      <w:iCs w:val="false"/>
      <w:caps w:val="false"/>
      <w:smallCaps w:val="false"/>
      <w:strike w:val="false"/>
      <w:dstrike w:val="false"/>
      <w:outline w:val="false"/>
      <w:color w:val="auto"/>
      <w:spacing w:val="0"/>
      <w:w w:val="100"/>
      <w:kern w:val="2"/>
      <w:position w:val="0"/>
      <w:sz w:val="24"/>
      <w:sz w:val="24"/>
      <w:szCs w:val="24"/>
      <w:u w:val="none"/>
      <w:vertAlign w:val="baseline"/>
      <w:em w:val="none"/>
      <w:lang w:val="pt-BR"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25</TotalTime>
  <Application>LibreOffice/7.2.6.2$Windows_X86_64 LibreOffice_project/b0ec3a565991f7569a5a7f5d24fed7f52653d754</Application>
  <AppVersion>15.0000</AppVersion>
  <Pages>4</Pages>
  <Words>870</Words>
  <Characters>4498</Characters>
  <CharactersWithSpaces>5340</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2023-06-06T20:24:04Z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