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sz w:val="24"/>
          <w:szCs w:val="24"/>
        </w:rPr>
      </w:pPr>
      <w:r>
        <w:rPr>
          <w:rFonts w:ascii="Cambria" w:hAnsi="Cambria"/>
          <w:color w:val="C9211E"/>
          <w:sz w:val="24"/>
          <w:szCs w:val="24"/>
        </w:rPr>
        <w:t>MP</w:t>
      </w:r>
      <w:r>
        <w:rPr>
          <w:rFonts w:ascii="Cambria" w:hAnsi="Cambria"/>
          <w:color w:val="C9211E"/>
          <w:sz w:val="24"/>
          <w:szCs w:val="24"/>
        </w:rPr>
        <w:t>MS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sz w:val="24"/>
          <w:szCs w:val="24"/>
        </w:rPr>
      </w:pPr>
      <w:r>
        <w:rPr>
          <w:rFonts w:cs="Arial" w:ascii="Cambria" w:hAnsi="Cambria"/>
          <w:b/>
          <w:bCs/>
          <w:color w:val="000000"/>
          <w:sz w:val="24"/>
          <w:szCs w:val="24"/>
        </w:rPr>
        <w:t>RRC nº</w:t>
      </w:r>
    </w:p>
    <w:p>
      <w:pPr>
        <w:pStyle w:val="Standard"/>
        <w:spacing w:lineRule="auto" w:line="360"/>
        <w:ind w:right="-14" w:hanging="0"/>
        <w:jc w:val="both"/>
        <w:rPr>
          <w:sz w:val="24"/>
          <w:szCs w:val="24"/>
        </w:rPr>
      </w:pPr>
      <w:r>
        <w:rPr>
          <w:rFonts w:ascii="Cambria" w:hAnsi="Cambria"/>
          <w:b/>
          <w:bCs/>
          <w:color w:val="000000"/>
          <w:sz w:val="24"/>
          <w:szCs w:val="24"/>
        </w:rPr>
        <w:t>Recorrente:</w:t>
      </w:r>
      <w:r>
        <w:rPr>
          <w:rFonts w:ascii="Cambria" w:hAnsi="Cambria"/>
          <w:color w:val="000000"/>
          <w:sz w:val="24"/>
          <w:szCs w:val="24"/>
        </w:rPr>
        <w:t xml:space="preserve"> Ministério Público Eleitoral</w:t>
      </w:r>
    </w:p>
    <w:p>
      <w:pPr>
        <w:pStyle w:val="Standard"/>
        <w:spacing w:lineRule="auto" w:line="360"/>
        <w:jc w:val="both"/>
        <w:rPr>
          <w:sz w:val="24"/>
          <w:szCs w:val="24"/>
        </w:rPr>
      </w:pPr>
      <w:r>
        <w:rPr>
          <w:rFonts w:cs="Arial" w:ascii="Cambria" w:hAnsi="Cambria"/>
          <w:b/>
          <w:bCs/>
          <w:color w:val="000000"/>
          <w:sz w:val="24"/>
          <w:szCs w:val="24"/>
        </w:rPr>
        <w:t>Recorrido: XXXX</w:t>
      </w:r>
    </w:p>
    <w:p>
      <w:pPr>
        <w:pStyle w:val="Normal"/>
        <w:spacing w:lineRule="auto" w:line="360"/>
        <w:jc w:val="both"/>
        <w:rPr>
          <w:sz w:val="24"/>
          <w:szCs w:val="24"/>
        </w:rPr>
      </w:pPr>
      <w:r>
        <w:rPr>
          <w:rFonts w:eastAsia="Arial" w:cs="Arial" w:ascii="Cambria" w:hAnsi="Cambria"/>
          <w:b/>
          <w:bCs/>
          <w:color w:val="000000"/>
          <w:sz w:val="24"/>
          <w:szCs w:val="24"/>
        </w:rPr>
        <w:t xml:space="preserve"> </w:t>
      </w:r>
    </w:p>
    <w:p>
      <w:pPr>
        <w:pStyle w:val="Normal"/>
        <w:spacing w:lineRule="auto" w:line="360"/>
        <w:jc w:val="both"/>
        <w:rPr>
          <w:rFonts w:ascii="Cambria" w:hAnsi="Cambria" w:eastAsia="Arial" w:cs="Arial"/>
          <w:b/>
          <w:b/>
          <w:bCs/>
          <w:color w:val="000000"/>
          <w:sz w:val="24"/>
          <w:szCs w:val="24"/>
        </w:rPr>
      </w:pPr>
      <w:r>
        <w:rPr>
          <w:rFonts w:eastAsia="Arial" w:cs="Arial" w:ascii="Cambria" w:hAnsi="Cambria"/>
          <w:b/>
          <w:bCs/>
          <w:color w:val="000000"/>
          <w:sz w:val="24"/>
          <w:szCs w:val="24"/>
        </w:rPr>
      </w:r>
    </w:p>
    <w:p>
      <w:pPr>
        <w:pStyle w:val="Normal"/>
        <w:spacing w:lineRule="auto" w:line="360"/>
        <w:jc w:val="both"/>
        <w:rPr>
          <w:rFonts w:ascii="Cambria" w:hAnsi="Cambria" w:eastAsia="Arial" w:cs="Arial"/>
          <w:b/>
          <w:b/>
          <w:bCs/>
          <w:color w:val="000000"/>
          <w:sz w:val="24"/>
          <w:szCs w:val="24"/>
        </w:rPr>
      </w:pPr>
      <w:r>
        <w:rPr>
          <w:rFonts w:eastAsia="Arial" w:cs="Arial" w:ascii="Cambria" w:hAnsi="Cambria"/>
          <w:b/>
          <w:bCs/>
          <w:color w:val="000000"/>
          <w:sz w:val="24"/>
          <w:szCs w:val="24"/>
        </w:rPr>
      </w:r>
    </w:p>
    <w:p>
      <w:pPr>
        <w:pStyle w:val="Standard"/>
        <w:tabs>
          <w:tab w:val="clear" w:pos="708"/>
          <w:tab w:val="left" w:pos="142" w:leader="none"/>
        </w:tabs>
        <w:spacing w:lineRule="auto" w:line="360"/>
        <w:ind w:firstLine="1701"/>
        <w:jc w:val="both"/>
        <w:rPr>
          <w:sz w:val="24"/>
          <w:szCs w:val="24"/>
        </w:rPr>
      </w:pPr>
      <w:r>
        <w:rPr>
          <w:rFonts w:ascii="Cambria" w:hAnsi="Cambria"/>
          <w:sz w:val="24"/>
          <w:szCs w:val="24"/>
        </w:rPr>
        <w:t xml:space="preserve">Por não se conformar com a r. sentença de fls. XX, o </w:t>
      </w:r>
      <w:r>
        <w:rPr>
          <w:rFonts w:ascii="Cambria" w:hAnsi="Cambria"/>
          <w:b/>
          <w:bCs/>
          <w:sz w:val="24"/>
          <w:szCs w:val="24"/>
        </w:rPr>
        <w:t xml:space="preserve">Ministério Público Eleitoral </w:t>
      </w:r>
      <w:r>
        <w:rPr>
          <w:rFonts w:ascii="Cambria" w:hAnsi="Cambria"/>
          <w:sz w:val="24"/>
          <w:szCs w:val="24"/>
        </w:rPr>
        <w:t xml:space="preserve">vem perante Vossa Excelência, dentro do prazo legal, interpor o competente </w:t>
      </w:r>
      <w:r>
        <w:rPr>
          <w:rFonts w:ascii="Cambria" w:hAnsi="Cambria"/>
          <w:b/>
          <w:bCs/>
          <w:sz w:val="24"/>
          <w:szCs w:val="24"/>
        </w:rPr>
        <w:t xml:space="preserve">RECURSO ELEITORAL, </w:t>
      </w:r>
      <w:r>
        <w:rPr>
          <w:rFonts w:ascii="Cambria" w:hAnsi="Cambria"/>
          <w:sz w:val="24"/>
          <w:szCs w:val="24"/>
        </w:rPr>
        <w:t>cujas razões seguem anexas.</w:t>
      </w:r>
    </w:p>
    <w:p>
      <w:pPr>
        <w:pStyle w:val="Standard"/>
        <w:tabs>
          <w:tab w:val="clear" w:pos="708"/>
          <w:tab w:val="left" w:pos="142" w:leader="none"/>
        </w:tabs>
        <w:spacing w:lineRule="auto" w:line="360"/>
        <w:ind w:firstLine="1701"/>
        <w:jc w:val="both"/>
        <w:rPr>
          <w:rFonts w:ascii="Cambria" w:hAnsi="Cambria"/>
          <w:sz w:val="24"/>
          <w:szCs w:val="24"/>
        </w:rPr>
      </w:pPr>
      <w:r>
        <w:rPr>
          <w:rFonts w:ascii="Cambria" w:hAnsi="Cambria"/>
          <w:sz w:val="24"/>
          <w:szCs w:val="24"/>
        </w:rPr>
      </w:r>
    </w:p>
    <w:p>
      <w:pPr>
        <w:pStyle w:val="Standard"/>
        <w:widowControl/>
        <w:tabs>
          <w:tab w:val="clear" w:pos="708"/>
          <w:tab w:val="left" w:pos="142" w:leader="none"/>
        </w:tabs>
        <w:suppressAutoHyphens w:val="true"/>
        <w:overflowPunct w:val="false"/>
        <w:bidi w:val="0"/>
        <w:spacing w:lineRule="auto" w:line="360" w:before="0" w:after="0"/>
        <w:ind w:firstLine="1701"/>
        <w:jc w:val="both"/>
        <w:rPr>
          <w:sz w:val="24"/>
          <w:szCs w:val="24"/>
        </w:rPr>
      </w:pPr>
      <w:r>
        <w:rPr>
          <w:rFonts w:cs="Arial" w:ascii="Cambria" w:hAnsi="Cambria"/>
          <w:color w:val="000000"/>
          <w:sz w:val="24"/>
          <w:szCs w:val="24"/>
        </w:rPr>
        <w:t>Requer, por oportuno, após o Juízo de retratação previsto no art. 267, § 7º, do Código Eleitoral, caso mantido o</w:t>
      </w:r>
      <w:r>
        <w:rPr>
          <w:rFonts w:cs="Arial" w:ascii="Cambria" w:hAnsi="Cambria"/>
          <w:i/>
          <w:iCs/>
          <w:color w:val="000000"/>
          <w:sz w:val="24"/>
          <w:szCs w:val="24"/>
        </w:rPr>
        <w:t xml:space="preserve"> decisum</w:t>
      </w:r>
      <w:r>
        <w:rPr>
          <w:rFonts w:cs="Arial" w:ascii="Cambria" w:hAnsi="Cambria"/>
          <w:color w:val="000000"/>
          <w:sz w:val="24"/>
          <w:szCs w:val="24"/>
        </w:rPr>
        <w:t>, a intimação da parte recorrida para apresentação das contrarrazões e, em seguida, o encaminhamento do feito à instância superior.</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sz w:val="24"/>
          <w:szCs w:val="24"/>
        </w:rPr>
      </w:pPr>
      <w:r>
        <w:rPr>
          <w:rFonts w:cs="Arial" w:ascii="Cambria" w:hAnsi="Cambria"/>
          <w:color w:val="000000"/>
          <w:sz w:val="24"/>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57"/>
        <w:jc w:val="center"/>
        <w:rPr>
          <w:sz w:val="24"/>
          <w:szCs w:val="24"/>
        </w:rPr>
      </w:pPr>
      <w:r>
        <w:rPr>
          <w:rFonts w:cs="Arial" w:ascii="Cambria" w:hAnsi="Cambria"/>
          <w:b/>
          <w:bCs/>
          <w:color w:val="000000"/>
          <w:sz w:val="24"/>
          <w:szCs w:val="24"/>
        </w:rPr>
        <w:t>Promotor(a) Eleitoral</w:t>
      </w:r>
      <w:r>
        <w:br w:type="page"/>
      </w:r>
    </w:p>
    <w:p>
      <w:pPr>
        <w:pStyle w:val="Standard"/>
        <w:spacing w:lineRule="auto" w:line="360"/>
        <w:ind w:right="-14" w:hanging="0"/>
        <w:jc w:val="both"/>
        <w:rPr>
          <w:sz w:val="24"/>
          <w:szCs w:val="24"/>
        </w:rPr>
      </w:pPr>
      <w:r>
        <w:rPr>
          <w:rFonts w:ascii="Cambria" w:hAnsi="Cambria"/>
          <w:b/>
          <w:bCs/>
          <w:color w:val="000000"/>
          <w:sz w:val="24"/>
          <w:szCs w:val="24"/>
          <w:u w:val="single"/>
        </w:rPr>
        <w:t>RCC n. XXXX</w:t>
      </w:r>
    </w:p>
    <w:p>
      <w:pPr>
        <w:pStyle w:val="Standard"/>
        <w:spacing w:lineRule="auto" w:line="360"/>
        <w:ind w:right="-14" w:hanging="0"/>
        <w:jc w:val="both"/>
        <w:rPr>
          <w:sz w:val="24"/>
          <w:szCs w:val="24"/>
        </w:rPr>
      </w:pPr>
      <w:r>
        <w:rPr>
          <w:rFonts w:ascii="Cambria" w:hAnsi="Cambria"/>
          <w:b/>
          <w:bCs/>
          <w:color w:val="000000"/>
          <w:sz w:val="24"/>
          <w:szCs w:val="24"/>
        </w:rPr>
        <w:t>Recorrente:</w:t>
      </w:r>
      <w:r>
        <w:rPr>
          <w:rFonts w:ascii="Cambria" w:hAnsi="Cambria"/>
          <w:color w:val="000000"/>
          <w:sz w:val="24"/>
          <w:szCs w:val="24"/>
        </w:rPr>
        <w:t xml:space="preserve"> Ministério Público Eleitoral</w:t>
      </w:r>
    </w:p>
    <w:p>
      <w:pPr>
        <w:pStyle w:val="Standard"/>
        <w:rPr>
          <w:sz w:val="24"/>
          <w:szCs w:val="24"/>
        </w:rPr>
      </w:pPr>
      <w:r>
        <w:rPr>
          <w:rFonts w:ascii="Cambria" w:hAnsi="Cambria"/>
          <w:b/>
          <w:bCs/>
          <w:color w:val="000000"/>
          <w:sz w:val="24"/>
          <w:szCs w:val="24"/>
        </w:rPr>
        <w:t xml:space="preserve">Recorrido: </w:t>
      </w:r>
      <w:r>
        <w:rPr>
          <w:rFonts w:ascii="Cambria" w:hAnsi="Cambria"/>
          <w:color w:val="000000"/>
          <w:sz w:val="24"/>
          <w:szCs w:val="24"/>
        </w:rPr>
        <w:t>XXXX</w:t>
      </w:r>
    </w:p>
    <w:p>
      <w:pPr>
        <w:pStyle w:val="Standard"/>
        <w:spacing w:lineRule="auto" w:line="360"/>
        <w:ind w:right="-284" w:firstLine="2268"/>
        <w:jc w:val="both"/>
        <w:rPr>
          <w:rFonts w:ascii="Cambria" w:hAnsi="Cambria"/>
          <w:b/>
          <w:b/>
          <w:bCs/>
          <w:caps/>
          <w:sz w:val="24"/>
          <w:szCs w:val="24"/>
        </w:rPr>
      </w:pPr>
      <w:r>
        <w:rPr>
          <w:rFonts w:ascii="Cambria" w:hAnsi="Cambria"/>
          <w:b/>
          <w:bCs/>
          <w:caps/>
          <w:sz w:val="24"/>
          <w:szCs w:val="24"/>
        </w:rPr>
      </w:r>
    </w:p>
    <w:p>
      <w:pPr>
        <w:pStyle w:val="Standard"/>
        <w:spacing w:lineRule="auto" w:line="360"/>
        <w:ind w:right="-284" w:firstLine="2268"/>
        <w:jc w:val="both"/>
        <w:rPr>
          <w:rFonts w:ascii="Cambria" w:hAnsi="Cambria"/>
          <w:b/>
          <w:b/>
          <w:bCs/>
          <w:caps/>
          <w:sz w:val="24"/>
          <w:szCs w:val="24"/>
        </w:rPr>
      </w:pPr>
      <w:r>
        <w:rPr>
          <w:rFonts w:ascii="Cambria" w:hAnsi="Cambria"/>
          <w:b/>
          <w:bCs/>
          <w:caps/>
          <w:sz w:val="24"/>
          <w:szCs w:val="24"/>
        </w:rPr>
      </w:r>
    </w:p>
    <w:p>
      <w:pPr>
        <w:pStyle w:val="Standard"/>
        <w:spacing w:lineRule="auto" w:line="360"/>
        <w:ind w:right="-284" w:firstLine="2268"/>
        <w:jc w:val="both"/>
        <w:rPr>
          <w:sz w:val="24"/>
          <w:szCs w:val="24"/>
        </w:rPr>
      </w:pPr>
      <w:r>
        <w:rPr>
          <w:rFonts w:ascii="Cambria" w:hAnsi="Cambria"/>
          <w:b/>
          <w:bCs/>
          <w:caps/>
          <w:sz w:val="24"/>
          <w:szCs w:val="24"/>
        </w:rPr>
        <w:t>EGRÉGIO TRIBUNAL REGIONAL ELEITORAL</w:t>
      </w:r>
    </w:p>
    <w:p>
      <w:pPr>
        <w:pStyle w:val="Standard"/>
        <w:spacing w:lineRule="auto" w:line="360"/>
        <w:ind w:right="-284" w:firstLine="2268"/>
        <w:jc w:val="both"/>
        <w:rPr>
          <w:sz w:val="24"/>
          <w:szCs w:val="24"/>
        </w:rPr>
      </w:pPr>
      <w:r>
        <w:rPr>
          <w:rFonts w:ascii="Cambria" w:hAnsi="Cambria"/>
          <w:b/>
          <w:bCs/>
          <w:caps/>
          <w:sz w:val="24"/>
          <w:szCs w:val="24"/>
        </w:rPr>
        <w:t>EXMO. PROCURADOR REGIONAL ELEITORAL</w:t>
      </w:r>
    </w:p>
    <w:p>
      <w:pPr>
        <w:pStyle w:val="Standard"/>
        <w:spacing w:lineRule="auto" w:line="360"/>
        <w:ind w:right="-284" w:firstLine="2268"/>
        <w:jc w:val="both"/>
        <w:rPr>
          <w:sz w:val="24"/>
          <w:szCs w:val="24"/>
        </w:rPr>
      </w:pPr>
      <w:r>
        <w:rPr>
          <w:rFonts w:ascii="Cambria" w:hAnsi="Cambria"/>
          <w:b/>
          <w:bCs/>
          <w:caps/>
          <w:sz w:val="24"/>
          <w:szCs w:val="24"/>
        </w:rPr>
        <w:t>EXMO. RELATOR.</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Inconformado com a sentença do Juízo Eleitoral que deferiu o registro de candidatura do recorrido </w:t>
      </w:r>
      <w:r>
        <w:rPr>
          <w:rFonts w:ascii="Cambria" w:hAnsi="Cambria"/>
          <w:b/>
          <w:bCs/>
          <w:sz w:val="24"/>
          <w:szCs w:val="24"/>
        </w:rPr>
        <w:t>XXXX</w:t>
      </w:r>
      <w:r>
        <w:rPr>
          <w:rFonts w:ascii="Cambria" w:hAnsi="Cambria"/>
          <w:sz w:val="24"/>
          <w:szCs w:val="24"/>
        </w:rPr>
        <w:t xml:space="preserve">, o </w:t>
      </w:r>
      <w:r>
        <w:rPr>
          <w:rFonts w:ascii="Cambria" w:hAnsi="Cambria"/>
          <w:b/>
          <w:bCs/>
          <w:sz w:val="24"/>
          <w:szCs w:val="24"/>
        </w:rPr>
        <w:t xml:space="preserve">MINISTÉRIO PÚBLICO ELEITORAL </w:t>
      </w:r>
      <w:r>
        <w:rPr>
          <w:rFonts w:ascii="Cambria" w:hAnsi="Cambria"/>
          <w:sz w:val="24"/>
          <w:szCs w:val="24"/>
        </w:rPr>
        <w:t>recorre a esta E. Corte, expondo, para tanto, os argumentos adiante aduzidos:</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b/>
          <w:bCs/>
          <w:sz w:val="24"/>
          <w:szCs w:val="24"/>
          <w:u w:val="single"/>
        </w:rPr>
        <w:t>1.Breve síntese fática</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O Recorrido ingressou com o RRC, pleiteando sua candidatura ao cargo de vereador. No curso do processo foi constatado que o recorrido, embora seja subtenente do Corpo de Bombeiros Militar, não fez prova acerca de eventual exoneração (caso possuísse menos de 10 anos de serviço), ou licenciamento nos três meses que antecedem o pleito (na hipótese de ter acima de 10 anos de ingresso). Motivo pelo qual, o </w:t>
      </w:r>
      <w:r>
        <w:rPr>
          <w:rFonts w:ascii="Cambria" w:hAnsi="Cambria"/>
          <w:i/>
          <w:iCs/>
          <w:sz w:val="24"/>
          <w:szCs w:val="24"/>
        </w:rPr>
        <w:t xml:space="preserve">Parquet, </w:t>
      </w:r>
      <w:r>
        <w:rPr>
          <w:rFonts w:ascii="Cambria" w:hAnsi="Cambria"/>
          <w:sz w:val="24"/>
          <w:szCs w:val="24"/>
        </w:rPr>
        <w:t>por meio do parecer exarado, pleiteou fosse sua pretensão indeferida, até porque o requerente se afastou somente no dia</w:t>
      </w:r>
      <w:r>
        <w:rPr>
          <w:rFonts w:ascii="Cambria" w:hAnsi="Cambria"/>
          <w:color w:val="FF0000"/>
          <w:sz w:val="24"/>
          <w:szCs w:val="24"/>
        </w:rPr>
        <w:t xml:space="preserve"> xxxx </w:t>
      </w:r>
      <w:r>
        <w:rPr>
          <w:rFonts w:ascii="Cambria" w:hAnsi="Cambria"/>
          <w:sz w:val="24"/>
          <w:szCs w:val="24"/>
        </w:rPr>
        <w:t>(fls. XX).</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Em sentença proferida às fls .XX, o Juízo Eleitoral de primeira instância rechaçou a tese, com base, especialmente, em uma Consulta do TSE que entende ser necessário o afastamento somente a partir do registro de candidatura, concluindo que “</w:t>
      </w:r>
      <w:r>
        <w:rPr>
          <w:rFonts w:ascii="Cambria" w:hAnsi="Cambria"/>
          <w:b/>
          <w:bCs/>
          <w:color w:val="FF0000"/>
          <w:sz w:val="24"/>
          <w:szCs w:val="24"/>
        </w:rPr>
        <w:t>não há se exigir de militar da ativa, quando ocupante do cargo há mais de 10 (dez) anos, que observe as regras gerais de desincompatibilização, tal como se depreende do disposto nos artigos da Constituição Federal</w:t>
      </w:r>
      <w:r>
        <w:rPr>
          <w:rFonts w:ascii="Cambria" w:hAnsi="Cambria"/>
          <w:sz w:val="24"/>
          <w:szCs w:val="24"/>
        </w:rPr>
        <w:t>”. Por fim, deferiu o registro de candidatura do Recorrido.</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b/>
          <w:bCs/>
          <w:sz w:val="24"/>
          <w:szCs w:val="24"/>
          <w:u w:val="single"/>
        </w:rPr>
        <w:t>2. Da ponto central de inconformismo do Ministério Público Eleitoral</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A Constituição Federal, em seu art. 14, § 8º, dispõe </w:t>
      </w:r>
      <w:r>
        <w:rPr>
          <w:rFonts w:ascii="Cambria" w:hAnsi="Cambria"/>
          <w:sz w:val="24"/>
          <w:szCs w:val="24"/>
          <w:u w:val="single"/>
        </w:rPr>
        <w:t>apenas sobre a possibilidade do militar da ativa ser agregado</w:t>
      </w:r>
      <w:r>
        <w:rPr>
          <w:rFonts w:ascii="Cambria" w:hAnsi="Cambria"/>
          <w:sz w:val="24"/>
          <w:szCs w:val="24"/>
        </w:rPr>
        <w:t xml:space="preserve">, não fixando o momento do afastamento para ele concorrer ao cargo eletivo, ou seja, qual o prazo de sua desincompatibilização para fins de inelegibilidade, </w:t>
      </w:r>
      <w:r>
        <w:rPr>
          <w:rFonts w:ascii="Cambria" w:hAnsi="Cambria"/>
          <w:i/>
          <w:sz w:val="24"/>
          <w:szCs w:val="24"/>
        </w:rPr>
        <w:t>in</w:t>
      </w:r>
      <w:r>
        <w:rPr>
          <w:rFonts w:ascii="Cambria" w:hAnsi="Cambria"/>
          <w:sz w:val="24"/>
          <w:szCs w:val="24"/>
        </w:rPr>
        <w:t xml:space="preserve"> </w:t>
      </w:r>
      <w:r>
        <w:rPr>
          <w:rFonts w:ascii="Cambria" w:hAnsi="Cambria"/>
          <w:i/>
          <w:iCs/>
          <w:sz w:val="24"/>
          <w:szCs w:val="24"/>
        </w:rPr>
        <w:t>verbis</w:t>
      </w:r>
      <w:r>
        <w:rPr>
          <w:rFonts w:ascii="Cambria" w:hAnsi="Cambria"/>
          <w:sz w:val="24"/>
          <w:szCs w:val="24"/>
        </w:rPr>
        <w:t>:</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hd w:val="clear" w:color="auto" w:fill="FFFFFF"/>
        <w:spacing w:lineRule="auto" w:line="360"/>
        <w:ind w:left="2268" w:hanging="0"/>
        <w:jc w:val="both"/>
        <w:rPr>
          <w:sz w:val="22"/>
          <w:szCs w:val="22"/>
        </w:rPr>
      </w:pPr>
      <w:r>
        <w:rPr>
          <w:rFonts w:ascii="Cambria" w:hAnsi="Cambria"/>
          <w:color w:val="000000"/>
          <w:sz w:val="22"/>
          <w:szCs w:val="22"/>
        </w:rPr>
        <w:t>O militar alistável é elegível, atendidas as seguintes condições:</w:t>
      </w:r>
    </w:p>
    <w:p>
      <w:pPr>
        <w:pStyle w:val="Standard"/>
        <w:shd w:val="clear" w:color="auto" w:fill="FFFFFF"/>
        <w:spacing w:lineRule="auto" w:line="360"/>
        <w:ind w:left="2268" w:hanging="0"/>
        <w:jc w:val="both"/>
        <w:rPr>
          <w:sz w:val="22"/>
          <w:szCs w:val="22"/>
        </w:rPr>
      </w:pPr>
      <w:bookmarkStart w:id="0" w:name="14ï¿½8I"/>
      <w:bookmarkEnd w:id="0"/>
      <w:r>
        <w:rPr>
          <w:rFonts w:ascii="Cambria" w:hAnsi="Cambria"/>
          <w:color w:val="000000"/>
          <w:sz w:val="22"/>
          <w:szCs w:val="22"/>
        </w:rPr>
        <w:t xml:space="preserve">I - se contar menos de dez anos de serviço, </w:t>
      </w:r>
      <w:r>
        <w:rPr>
          <w:rFonts w:ascii="Cambria" w:hAnsi="Cambria"/>
          <w:b/>
          <w:color w:val="000000"/>
          <w:sz w:val="22"/>
          <w:szCs w:val="22"/>
          <w:u w:val="single"/>
        </w:rPr>
        <w:t>deverá afastar-se da atividade</w:t>
      </w:r>
      <w:r>
        <w:rPr>
          <w:rFonts w:ascii="Cambria" w:hAnsi="Cambria"/>
          <w:color w:val="000000"/>
          <w:sz w:val="22"/>
          <w:szCs w:val="22"/>
        </w:rPr>
        <w:t>;</w:t>
      </w:r>
    </w:p>
    <w:p>
      <w:pPr>
        <w:pStyle w:val="Standard"/>
        <w:shd w:val="clear" w:color="auto" w:fill="FFFFFF"/>
        <w:spacing w:lineRule="auto" w:line="360"/>
        <w:ind w:left="2268" w:hanging="0"/>
        <w:jc w:val="both"/>
        <w:rPr>
          <w:sz w:val="22"/>
          <w:szCs w:val="22"/>
        </w:rPr>
      </w:pPr>
      <w:bookmarkStart w:id="1" w:name="14ï¿½8II"/>
      <w:bookmarkEnd w:id="1"/>
      <w:r>
        <w:rPr>
          <w:rFonts w:ascii="Cambria" w:hAnsi="Cambria"/>
          <w:color w:val="000000"/>
          <w:sz w:val="22"/>
          <w:szCs w:val="22"/>
        </w:rPr>
        <w:t xml:space="preserve">II - se contar mais de dez anos de serviço, </w:t>
      </w:r>
      <w:r>
        <w:rPr>
          <w:rFonts w:ascii="Cambria" w:hAnsi="Cambria"/>
          <w:b/>
          <w:bCs/>
          <w:color w:val="000000"/>
          <w:sz w:val="22"/>
          <w:szCs w:val="22"/>
          <w:u w:val="single"/>
        </w:rPr>
        <w:t>será agregado pela autoridade superior</w:t>
      </w:r>
      <w:r>
        <w:rPr>
          <w:rFonts w:ascii="Cambria" w:hAnsi="Cambria"/>
          <w:color w:val="000000"/>
          <w:sz w:val="22"/>
          <w:szCs w:val="22"/>
        </w:rPr>
        <w:t xml:space="preserve"> e, se eleito, passará automaticamente, no ato da diplomação, para a inatividade (grifei).</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Por outro lado, prescreve o art. 82, da Lei 6.880/1980 (Estatuto do Militar), que serviu de parâmetro para a Consulta do TSE e, por conseguinte, da decisão do magistrado:</w:t>
      </w:r>
    </w:p>
    <w:p>
      <w:pPr>
        <w:pStyle w:val="Standard"/>
        <w:spacing w:lineRule="auto" w:line="360"/>
        <w:ind w:right="-284" w:firstLine="2268"/>
        <w:jc w:val="both"/>
        <w:rPr>
          <w:rFonts w:ascii="Cambria" w:hAnsi="Cambria"/>
          <w:color w:val="000000"/>
          <w:sz w:val="24"/>
          <w:szCs w:val="24"/>
        </w:rPr>
      </w:pPr>
      <w:r>
        <w:rPr>
          <w:rFonts w:ascii="Cambria" w:hAnsi="Cambria"/>
          <w:color w:val="000000"/>
          <w:sz w:val="24"/>
          <w:szCs w:val="24"/>
        </w:rPr>
      </w:r>
    </w:p>
    <w:p>
      <w:pPr>
        <w:pStyle w:val="Standard"/>
        <w:spacing w:lineRule="auto" w:line="360"/>
        <w:ind w:left="2268" w:right="-283" w:hanging="0"/>
        <w:jc w:val="both"/>
        <w:rPr>
          <w:sz w:val="22"/>
          <w:szCs w:val="22"/>
        </w:rPr>
      </w:pPr>
      <w:r>
        <w:rPr>
          <w:rFonts w:ascii="Cambria" w:hAnsi="Cambria"/>
          <w:color w:val="000000"/>
          <w:sz w:val="22"/>
          <w:szCs w:val="22"/>
        </w:rPr>
        <w:t>O militar será agregado quando for afastado temporariamente do serviço ativo por motivo de:</w:t>
      </w:r>
    </w:p>
    <w:p>
      <w:pPr>
        <w:pStyle w:val="Standard"/>
        <w:spacing w:lineRule="auto" w:line="360"/>
        <w:ind w:left="2268" w:right="-283" w:hanging="0"/>
        <w:jc w:val="both"/>
        <w:rPr>
          <w:sz w:val="22"/>
          <w:szCs w:val="22"/>
        </w:rPr>
      </w:pPr>
      <w:r>
        <w:rPr>
          <w:rFonts w:ascii="Cambria" w:hAnsi="Cambria"/>
          <w:color w:val="000000"/>
          <w:sz w:val="22"/>
          <w:szCs w:val="22"/>
        </w:rPr>
        <w:t>(...) XIV - ter se candidatado a cargo eletivo, desde que conte 5 (cinco) ou mais anos de serviço (...)</w:t>
      </w:r>
    </w:p>
    <w:p>
      <w:pPr>
        <w:pStyle w:val="Standard"/>
        <w:spacing w:lineRule="auto" w:line="360"/>
        <w:ind w:left="2268" w:right="-283" w:hanging="0"/>
        <w:jc w:val="both"/>
        <w:rPr>
          <w:sz w:val="22"/>
          <w:szCs w:val="22"/>
        </w:rPr>
      </w:pPr>
      <w:r>
        <w:rPr>
          <w:rFonts w:ascii="Cambria" w:hAnsi="Cambria"/>
          <w:color w:val="000000"/>
          <w:sz w:val="22"/>
          <w:szCs w:val="22"/>
        </w:rPr>
        <w:t xml:space="preserve">§ 4º A agregação de militar no caso do item XIV é </w:t>
      </w:r>
      <w:r>
        <w:rPr>
          <w:rFonts w:ascii="Cambria" w:hAnsi="Cambria"/>
          <w:b/>
          <w:bCs/>
          <w:color w:val="000000"/>
          <w:sz w:val="22"/>
          <w:szCs w:val="22"/>
          <w:u w:val="single"/>
        </w:rPr>
        <w:t>contada a partir da data do registro como candidato</w:t>
      </w:r>
      <w:r>
        <w:rPr>
          <w:rFonts w:ascii="Cambria" w:hAnsi="Cambria"/>
          <w:color w:val="000000"/>
          <w:sz w:val="22"/>
          <w:szCs w:val="22"/>
        </w:rPr>
        <w:t xml:space="preserve"> até sua diplomação ou seu regresso à Força Armada a que pertence, se não houver sido eleito.</w:t>
      </w:r>
    </w:p>
    <w:p>
      <w:pPr>
        <w:pStyle w:val="Standard"/>
        <w:spacing w:lineRule="auto" w:line="360"/>
        <w:rPr>
          <w:sz w:val="24"/>
          <w:szCs w:val="24"/>
        </w:rPr>
      </w:pPr>
      <w:r>
        <w:rPr>
          <w:rFonts w:cs="Segoe UI" w:ascii="Cambria" w:hAnsi="Cambria"/>
          <w:color w:val="4E586A"/>
          <w:sz w:val="24"/>
          <w:szCs w:val="24"/>
        </w:rPr>
        <w:t xml:space="preserve"> </w:t>
      </w:r>
    </w:p>
    <w:p>
      <w:pPr>
        <w:pStyle w:val="Standard"/>
        <w:rPr>
          <w:rFonts w:ascii="Cambria" w:hAnsi="Cambria" w:cs="Calibri"/>
          <w:color w:val="000000"/>
          <w:sz w:val="24"/>
          <w:szCs w:val="24"/>
        </w:rPr>
      </w:pPr>
      <w:r>
        <w:rPr>
          <w:rFonts w:cs="Calibri" w:ascii="Cambria" w:hAnsi="Cambria"/>
          <w:color w:val="000000"/>
          <w:sz w:val="24"/>
          <w:szCs w:val="24"/>
        </w:rPr>
      </w:r>
    </w:p>
    <w:p>
      <w:pPr>
        <w:pStyle w:val="Standard"/>
        <w:spacing w:lineRule="auto" w:line="360"/>
        <w:ind w:right="-283" w:firstLine="1701"/>
        <w:jc w:val="both"/>
        <w:rPr>
          <w:sz w:val="24"/>
          <w:szCs w:val="24"/>
        </w:rPr>
      </w:pPr>
      <w:r>
        <w:rPr>
          <w:rFonts w:ascii="Cambria" w:hAnsi="Cambria"/>
          <w:sz w:val="24"/>
          <w:szCs w:val="24"/>
        </w:rPr>
        <w:t xml:space="preserve">Com supedâneo em referida legislação, por ocasião da Consulta 0601066-64.2017.6.00.0000, realmente o Tribunal Superior Eleitoral entendeu que </w:t>
      </w:r>
      <w:r>
        <w:rPr>
          <w:rFonts w:ascii="Cambria" w:hAnsi="Cambria"/>
          <w:b/>
          <w:bCs/>
          <w:sz w:val="24"/>
          <w:szCs w:val="24"/>
        </w:rPr>
        <w:t>"O prazo fixado pelo Estatuto dos Militares para a agregação do militar em geral há de ser compreendido como o momento em que é requerido o Registro de Candidatura (…)".</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Fundamentos semelhantes foram adotados pelo Juízo de primeiro grau.</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Todavia, a interpretação realizada na Consulta e a solução da sentença ora atacada </w:t>
      </w:r>
      <w:r>
        <w:rPr>
          <w:rFonts w:ascii="Cambria" w:hAnsi="Cambria"/>
          <w:b/>
          <w:sz w:val="24"/>
          <w:szCs w:val="24"/>
        </w:rPr>
        <w:t>violam frontalmente a Constituição Federal</w:t>
      </w:r>
      <w:r>
        <w:rPr>
          <w:rFonts w:ascii="Cambria" w:hAnsi="Cambria"/>
          <w:sz w:val="24"/>
          <w:szCs w:val="24"/>
        </w:rPr>
        <w:t xml:space="preserve">, especialmente, o </w:t>
      </w:r>
      <w:r>
        <w:rPr>
          <w:rFonts w:ascii="Cambria" w:hAnsi="Cambria"/>
          <w:sz w:val="24"/>
          <w:szCs w:val="24"/>
          <w:u w:val="single"/>
        </w:rPr>
        <w:t>art. 14, § 9º, da CF, que prevê que os prazos de desincompatibilização somente devem ser previstos em LEI COMPLEMENTAR</w:t>
      </w:r>
      <w:r>
        <w:rPr>
          <w:rFonts w:ascii="Cambria" w:hAnsi="Cambria"/>
          <w:sz w:val="24"/>
          <w:szCs w:val="24"/>
        </w:rPr>
        <w:t xml:space="preserve">, bem como fere de morte o </w:t>
      </w:r>
      <w:r>
        <w:rPr>
          <w:rFonts w:ascii="Cambria" w:hAnsi="Cambria"/>
          <w:sz w:val="24"/>
          <w:szCs w:val="24"/>
          <w:u w:val="single"/>
        </w:rPr>
        <w:t>princípio constitucional da isonomia, previsto no art. 5°, caput, da CF, o qual também é princípio basilar do direito eleitoral (isonomia de oportunidades entre os candidatos)</w:t>
      </w:r>
      <w:r>
        <w:rPr>
          <w:rFonts w:ascii="Cambria" w:hAnsi="Cambria"/>
          <w:sz w:val="24"/>
          <w:szCs w:val="24"/>
        </w:rPr>
        <w:t>. Senão vejamos:</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b/>
          <w:bCs/>
          <w:sz w:val="24"/>
          <w:szCs w:val="24"/>
          <w:u w:val="single"/>
        </w:rPr>
        <w:t>3. Da não recepção do art. 82, da Lei 6.880/80 (Estatuto dos Militares) pela Constituição da República</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Nos termos do art. 14, § 9º, da CR/88, </w:t>
      </w:r>
      <w:r>
        <w:rPr>
          <w:rFonts w:ascii="Cambria" w:hAnsi="Cambria"/>
          <w:b/>
          <w:bCs/>
          <w:sz w:val="24"/>
          <w:szCs w:val="24"/>
        </w:rPr>
        <w:t>"Lei Complementar</w:t>
      </w:r>
      <w:r>
        <w:rPr>
          <w:rFonts w:ascii="Cambria" w:hAnsi="Cambria"/>
          <w:sz w:val="24"/>
          <w:szCs w:val="24"/>
        </w:rPr>
        <w:t xml:space="preserve"> estabelecerá </w:t>
      </w:r>
      <w:r>
        <w:rPr>
          <w:rFonts w:ascii="Cambria" w:hAnsi="Cambria"/>
          <w:b/>
          <w:sz w:val="24"/>
          <w:szCs w:val="24"/>
        </w:rPr>
        <w:t>outros casos de inelegibilidade</w:t>
      </w:r>
      <w:r>
        <w:rPr>
          <w:rFonts w:ascii="Cambria" w:hAnsi="Cambria"/>
          <w:sz w:val="24"/>
          <w:szCs w:val="24"/>
        </w:rPr>
        <w:t xml:space="preserve"> e os prazos de sua cessação, a fim de proteger a probidade administrativa, a moralidade para o exercício do mandato, considerada a vida pregressa do candidato, e a normalidade e legitimidade das eleições contra a influência do poder econômico ou </w:t>
      </w:r>
      <w:r>
        <w:rPr>
          <w:rFonts w:ascii="Cambria" w:hAnsi="Cambria"/>
          <w:b/>
          <w:sz w:val="24"/>
          <w:szCs w:val="24"/>
        </w:rPr>
        <w:t>o abuso do exercício de função, cargo ou emprego na administração direta ou indireta</w:t>
      </w:r>
      <w:r>
        <w:rPr>
          <w:rFonts w:ascii="Cambria" w:hAnsi="Cambria"/>
          <w:sz w:val="24"/>
          <w:szCs w:val="24"/>
        </w:rPr>
        <w:t>".</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Extraí-se da Carta Magna que os prazos de desincompatibilização, </w:t>
      </w:r>
      <w:r>
        <w:rPr>
          <w:rFonts w:ascii="Cambria" w:hAnsi="Cambria"/>
          <w:b/>
          <w:bCs/>
          <w:sz w:val="24"/>
          <w:szCs w:val="24"/>
        </w:rPr>
        <w:t xml:space="preserve">ou sua dispensa, </w:t>
      </w:r>
      <w:r>
        <w:rPr>
          <w:rFonts w:ascii="Cambria" w:hAnsi="Cambria"/>
          <w:sz w:val="24"/>
          <w:szCs w:val="24"/>
        </w:rPr>
        <w:t>somente devem ser fixados através de LEI COMPLEMENTAR, tal como o fez a LC n. 64/1990.</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Sem qualquer esforço de raciocínio, constata-se que o Estatuto dos Militares NÃO POSSUI NATUREZA DE LEI COMPLEMENTAR e, portanto, jamais deveria prever qualquer prazo (ou até mesmo a sua dispensa) de desincompatibilização para o militar que não ocupa função de comando.</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Logo, e com a devida vênia, o art. 82, da Lei 6.880/80 (Estatuto dos Militares) não serve de parâmetro para a interpretação do art. 14, § 8º, da Constituição Federal, já que passou a vigorar muito antes da promulgação da nossa Constituição (em 1988), e por ela não foi recepcionado para fins de inelegibilidade, na medida em que, a partir de 1988, os prazos de desincompa</w:t>
      </w:r>
      <w:r>
        <w:rPr>
          <w:rFonts w:ascii="Cambria" w:hAnsi="Cambria"/>
          <w:sz w:val="24"/>
          <w:szCs w:val="24"/>
        </w:rPr>
        <w:t>ti</w:t>
      </w:r>
      <w:r>
        <w:rPr>
          <w:rFonts w:ascii="Cambria" w:hAnsi="Cambria"/>
          <w:sz w:val="24"/>
          <w:szCs w:val="24"/>
        </w:rPr>
        <w:t xml:space="preserve">bilização </w:t>
      </w:r>
      <w:r>
        <w:rPr>
          <w:rFonts w:ascii="Cambria" w:hAnsi="Cambria"/>
          <w:b/>
          <w:sz w:val="24"/>
          <w:szCs w:val="24"/>
        </w:rPr>
        <w:t>somente deveriam ser previstos por LEI COMPLEMENTAR</w:t>
      </w:r>
      <w:r>
        <w:rPr>
          <w:rFonts w:ascii="Cambria" w:hAnsi="Cambria"/>
          <w:sz w:val="24"/>
          <w:szCs w:val="24"/>
        </w:rPr>
        <w:t>, e não por meio de Lei Ordinária.</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Assim, o prazo de desincompatibilização dos militares da ativa não pode ser considerado do registro da candidatura, como previsto no Estatuto dos Militares, pois anterior à Constituição e não recepcionada por ela para fins de prazo de inelegibilidade, por força do art. 14, § 9º, da CF, que exige obrigatoriamente Lei Complementar para esta matéria.</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b/>
          <w:bCs/>
          <w:sz w:val="24"/>
          <w:szCs w:val="24"/>
        </w:rPr>
        <w:t xml:space="preserve">4. </w:t>
      </w:r>
      <w:r>
        <w:rPr>
          <w:rFonts w:ascii="Cambria" w:hAnsi="Cambria"/>
          <w:b/>
          <w:bCs/>
          <w:sz w:val="24"/>
          <w:szCs w:val="24"/>
          <w:u w:val="single"/>
        </w:rPr>
        <w:t xml:space="preserve">Da interpretação que melhor atende ao regime jurídico constitucional e infraconstitucional, atendendo ao art. 14, § 9º, da CF, e ao princípio constitucional da isonomia, previsto no art. 5º, </w:t>
      </w:r>
      <w:r>
        <w:rPr>
          <w:rFonts w:ascii="Cambria" w:hAnsi="Cambria"/>
          <w:b/>
          <w:bCs/>
          <w:i/>
          <w:sz w:val="24"/>
          <w:szCs w:val="24"/>
          <w:u w:val="single"/>
        </w:rPr>
        <w:t>caput</w:t>
      </w:r>
      <w:r>
        <w:rPr>
          <w:rFonts w:ascii="Cambria" w:hAnsi="Cambria"/>
          <w:b/>
          <w:bCs/>
          <w:sz w:val="24"/>
          <w:szCs w:val="24"/>
          <w:u w:val="single"/>
        </w:rPr>
        <w:t>, da CF</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A Lei Complementar n. 64/90 é clara ao prever os prazos de desincompatibilização (entre 04 e 06 meses) a determinadas autoridades militares, notadamente as que exercem cargos de comando. É o que prescreve o art. 1º, II, "a", 2, 4, 6, 7; III, "b", 1 e 2; e IV, "c". Para os demais servidores e agentes públicos em geral o prazo mínimo é 3 meses.</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De outro giro, a doutrina pátria, de maneira acertada e </w:t>
      </w:r>
      <w:r>
        <w:rPr>
          <w:rFonts w:ascii="Cambria" w:hAnsi="Cambria"/>
          <w:b/>
          <w:bCs/>
          <w:sz w:val="24"/>
          <w:szCs w:val="24"/>
        </w:rPr>
        <w:t>em atenção ao princípio constitucional da isonomia</w:t>
      </w:r>
      <w:r>
        <w:rPr>
          <w:rFonts w:ascii="Cambria" w:hAnsi="Cambria"/>
          <w:sz w:val="24"/>
          <w:szCs w:val="24"/>
        </w:rPr>
        <w:t xml:space="preserve">, tem defendido a tese segundo a qual os </w:t>
      </w:r>
      <w:r>
        <w:rPr>
          <w:rFonts w:ascii="Cambria" w:hAnsi="Cambria"/>
          <w:b/>
          <w:sz w:val="24"/>
          <w:szCs w:val="24"/>
        </w:rPr>
        <w:t>militares que não exercem a função de comando</w:t>
      </w:r>
      <w:r>
        <w:rPr>
          <w:rFonts w:ascii="Cambria" w:hAnsi="Cambria"/>
          <w:sz w:val="24"/>
          <w:szCs w:val="24"/>
        </w:rPr>
        <w:t xml:space="preserve"> devem ser considerados servidores públicos em geral, e, como consequência, necessitam se desincompatibilizar nos </w:t>
      </w:r>
      <w:r>
        <w:rPr>
          <w:rFonts w:ascii="Cambria" w:hAnsi="Cambria"/>
          <w:b/>
          <w:sz w:val="24"/>
          <w:szCs w:val="24"/>
        </w:rPr>
        <w:t>três meses anteriores ao pleito</w:t>
      </w:r>
      <w:r>
        <w:rPr>
          <w:rFonts w:ascii="Cambria" w:hAnsi="Cambria"/>
          <w:sz w:val="24"/>
          <w:szCs w:val="24"/>
        </w:rPr>
        <w:t xml:space="preserve"> (art. 1º, II, LC 64/90), como se observa</w:t>
      </w:r>
      <w:r>
        <w:rPr>
          <w:rStyle w:val="Ncoradanotaderodap"/>
          <w:rFonts w:ascii="Cambria" w:hAnsi="Cambria"/>
          <w:color w:val="000000"/>
          <w:sz w:val="24"/>
          <w:szCs w:val="24"/>
        </w:rPr>
        <w:footnoteReference w:id="2"/>
      </w:r>
      <w:r>
        <w:rPr>
          <w:rFonts w:ascii="Cambria" w:hAnsi="Cambria"/>
          <w:sz w:val="24"/>
          <w:szCs w:val="24"/>
        </w:rPr>
        <w:t>:</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b/>
          <w:bCs/>
          <w:sz w:val="24"/>
          <w:szCs w:val="24"/>
        </w:rPr>
        <w:t>Estaria o afastamento da atividade ligada aos três meses anteriores ao pleito, submetendo-se o militar, como servidor da Administração Pública</w:t>
      </w:r>
      <w:r>
        <w:rPr>
          <w:rFonts w:ascii="Cambria" w:hAnsi="Cambria"/>
          <w:sz w:val="24"/>
          <w:szCs w:val="24"/>
        </w:rPr>
        <w:t xml:space="preserve"> (CF, Título III, Capítulo VII, Seção III, não obstante alteração produzida pela Emenda nº 18/1990) </w:t>
      </w:r>
      <w:r>
        <w:rPr>
          <w:rFonts w:ascii="Cambria" w:hAnsi="Cambria"/>
          <w:b/>
          <w:bCs/>
          <w:sz w:val="24"/>
          <w:szCs w:val="24"/>
        </w:rPr>
        <w:t>à incidência da regra geral de desincompatibilização dos servidores públicos prevista na Lei Complementar n° 64/1990, art. 1º, II, “l”</w:t>
      </w:r>
      <w:r>
        <w:rPr>
          <w:rFonts w:ascii="Cambria" w:hAnsi="Cambria"/>
          <w:sz w:val="24"/>
          <w:szCs w:val="24"/>
        </w:rPr>
        <w:t>, não dispensado o afastamento, por período maior, de outra função porventura exercida, como no caso do Comandante da Zona Aérea que quer concorrer a Governador (LC n° 64/1990, artigo 1º, III, “b”, n° 2).</w:t>
      </w:r>
    </w:p>
    <w:p>
      <w:pPr>
        <w:pStyle w:val="Standard"/>
        <w:spacing w:lineRule="auto" w:line="360"/>
        <w:ind w:firstLine="2268"/>
        <w:jc w:val="both"/>
        <w:rPr>
          <w:rFonts w:ascii="Cambria" w:hAnsi="Cambria"/>
          <w:color w:val="000000"/>
          <w:sz w:val="24"/>
          <w:szCs w:val="24"/>
        </w:rPr>
      </w:pPr>
      <w:r>
        <w:rPr>
          <w:rFonts w:ascii="Cambria" w:hAnsi="Cambria"/>
          <w:color w:val="000000"/>
          <w:sz w:val="24"/>
          <w:szCs w:val="24"/>
        </w:rPr>
      </w:r>
    </w:p>
    <w:p>
      <w:pPr>
        <w:pStyle w:val="Standard"/>
        <w:spacing w:lineRule="auto" w:line="360"/>
        <w:ind w:firstLine="1701"/>
        <w:jc w:val="both"/>
        <w:rPr>
          <w:sz w:val="24"/>
          <w:szCs w:val="24"/>
        </w:rPr>
      </w:pPr>
      <w:r>
        <w:rPr>
          <w:rFonts w:ascii="Cambria" w:hAnsi="Cambria"/>
          <w:color w:val="000000"/>
          <w:sz w:val="24"/>
          <w:szCs w:val="24"/>
        </w:rPr>
        <w:t>No mesmo sentido, a Jurisprudência dos Tribunais Regionais Eleitorais não destoa do entendimento doutrinário, conforme se observa dos julgados a seguir transcritos:</w:t>
      </w:r>
    </w:p>
    <w:p>
      <w:pPr>
        <w:pStyle w:val="Standard"/>
        <w:spacing w:lineRule="auto" w:line="360"/>
        <w:ind w:firstLine="2268"/>
        <w:jc w:val="both"/>
        <w:rPr>
          <w:rFonts w:ascii="Cambria" w:hAnsi="Cambria"/>
          <w:color w:val="000000"/>
          <w:sz w:val="22"/>
          <w:szCs w:val="22"/>
        </w:rPr>
      </w:pPr>
      <w:r>
        <w:rPr>
          <w:rFonts w:ascii="Cambria" w:hAnsi="Cambria"/>
          <w:color w:val="000000"/>
          <w:sz w:val="22"/>
          <w:szCs w:val="22"/>
        </w:rPr>
      </w:r>
    </w:p>
    <w:p>
      <w:pPr>
        <w:pStyle w:val="Standard"/>
        <w:spacing w:lineRule="auto" w:line="360"/>
        <w:ind w:left="2268" w:right="-283" w:hanging="0"/>
        <w:jc w:val="both"/>
        <w:rPr>
          <w:sz w:val="22"/>
          <w:szCs w:val="22"/>
        </w:rPr>
      </w:pPr>
      <w:r>
        <w:rPr>
          <w:rFonts w:ascii="Cambria" w:hAnsi="Cambria"/>
          <w:sz w:val="22"/>
          <w:szCs w:val="22"/>
        </w:rPr>
        <w:t xml:space="preserve">ELEIÇÕES 2016. RECURSO ELEITORAL. </w:t>
      </w:r>
      <w:r>
        <w:rPr>
          <w:rFonts w:ascii="Cambria" w:hAnsi="Cambria"/>
          <w:b/>
          <w:bCs/>
          <w:sz w:val="22"/>
          <w:szCs w:val="22"/>
        </w:rPr>
        <w:t>REGISTRO DE CANDIDATURA. POSTULANTE AO CARGO DE VEREADOR. DESINCOMPATIBILIZAÇÃO. POLICIAL MILITAR. SERVIDOR PÚBLICO. AFASTAMENTO DE SUAS FUNÇÕES. TRÊS MESES</w:t>
      </w:r>
      <w:r>
        <w:rPr>
          <w:rFonts w:ascii="Cambria" w:hAnsi="Cambria"/>
          <w:sz w:val="22"/>
          <w:szCs w:val="22"/>
        </w:rPr>
        <w:t>. NÃO DEMONSTRAÇÃO. ART. 1o., II, “l”, LC 64/90. CERTIDÃO DA JUSTIÇA ESTADUAL DE 2o. GRAU. AUSÊNCIA. ART. 27, 11, "b" E V DA RES.-TSE 23.455/15. REGISTRO DE CANDIDATURA INDEFERIDO. SENTENÇA MANTIDA. RECURSO IMPROVIDO.</w:t>
      </w:r>
    </w:p>
    <w:p>
      <w:pPr>
        <w:pStyle w:val="Standard"/>
        <w:spacing w:lineRule="auto" w:line="360"/>
        <w:ind w:left="2268" w:right="-283" w:hanging="0"/>
        <w:jc w:val="both"/>
        <w:rPr>
          <w:sz w:val="22"/>
          <w:szCs w:val="22"/>
        </w:rPr>
      </w:pPr>
      <w:r>
        <w:rPr>
          <w:rFonts w:ascii="Cambria" w:hAnsi="Cambria"/>
          <w:sz w:val="22"/>
          <w:szCs w:val="22"/>
        </w:rPr>
        <w:t xml:space="preserve">1. Nos termos do art. 1o., II, “l” da Lei Complementar 64/90, o prazo de desincompatibilização do Servidor Público, estatutário ou não, dos órgãos ou entidades da Administração direta ou indireta da União, dos Estados, do Distrito Federal, dos Municípios e dos Territórios, inclusive das fundações mantidas pelo Poder Público, que pretende candidatar-se ao cargo de vereador, é de 3 meses. 2.(...) </w:t>
      </w:r>
      <w:r>
        <w:rPr>
          <w:rFonts w:ascii="Cambria" w:hAnsi="Cambria"/>
          <w:b/>
          <w:bCs/>
          <w:sz w:val="22"/>
          <w:szCs w:val="22"/>
        </w:rPr>
        <w:t>Os Policiais Militares devem promover sua desincompatibilização no prazo de 3 meses antes do pleito, para poder requerer o Registro de Candidatura e concorrer ao cargo de seu interesse na eleição, conforme disposto no art. 1o., II, “l” da Lei Complementar 64/90</w:t>
      </w:r>
      <w:r>
        <w:rPr>
          <w:rFonts w:ascii="Cambria" w:hAnsi="Cambria"/>
          <w:sz w:val="22"/>
          <w:szCs w:val="22"/>
        </w:rPr>
        <w:t>" (...)</w:t>
      </w:r>
      <w:r>
        <w:rPr>
          <w:rStyle w:val="Ncoradanotaderodap"/>
          <w:rFonts w:ascii="Cambria" w:hAnsi="Cambria"/>
          <w:sz w:val="22"/>
          <w:szCs w:val="22"/>
        </w:rPr>
        <w:footnoteReference w:id="3"/>
      </w:r>
      <w:r>
        <w:rPr>
          <w:rFonts w:ascii="Cambria" w:hAnsi="Cambria"/>
          <w:sz w:val="22"/>
          <w:szCs w:val="22"/>
        </w:rPr>
        <w:t>.</w:t>
      </w:r>
    </w:p>
    <w:p>
      <w:pPr>
        <w:pStyle w:val="Standard"/>
        <w:spacing w:lineRule="auto" w:line="360"/>
        <w:ind w:right="-284" w:firstLine="2268"/>
        <w:jc w:val="both"/>
        <w:rPr>
          <w:rFonts w:ascii="Cambria" w:hAnsi="Cambria" w:cs="Times New Roman"/>
          <w:sz w:val="24"/>
          <w:szCs w:val="24"/>
        </w:rPr>
      </w:pPr>
      <w:r>
        <w:rPr>
          <w:rFonts w:cs="Times New Roman" w:ascii="Cambria" w:hAnsi="Cambria"/>
          <w:sz w:val="24"/>
          <w:szCs w:val="24"/>
        </w:rPr>
      </w:r>
    </w:p>
    <w:p>
      <w:pPr>
        <w:pStyle w:val="Standard"/>
        <w:spacing w:lineRule="auto" w:line="360"/>
        <w:ind w:left="2268" w:right="-283" w:hanging="0"/>
        <w:jc w:val="both"/>
        <w:rPr>
          <w:sz w:val="22"/>
          <w:szCs w:val="22"/>
        </w:rPr>
      </w:pPr>
      <w:r>
        <w:rPr>
          <w:rFonts w:ascii="Cambria" w:hAnsi="Cambria"/>
          <w:sz w:val="22"/>
          <w:szCs w:val="22"/>
        </w:rPr>
        <w:t>RECURSO ELEITORAL. ELEIÇÕES 2012. VEREADOR. REGISTRO DE CANDIDATURA. FILIAÇÃO PARTIDÁRIA. DESINCOMPATIBILIZAÇÃO. POLICIAL MILITAR. AFASTAMENTO COMPROVADO. RECURSO CONHECIDO E PROVIDO.</w:t>
      </w:r>
    </w:p>
    <w:p>
      <w:pPr>
        <w:pStyle w:val="Standard"/>
        <w:spacing w:lineRule="auto" w:line="360"/>
        <w:ind w:left="2268" w:right="-283" w:hanging="0"/>
        <w:jc w:val="both"/>
        <w:rPr>
          <w:sz w:val="22"/>
          <w:szCs w:val="22"/>
        </w:rPr>
      </w:pPr>
      <w:r>
        <w:rPr>
          <w:rFonts w:ascii="Cambria" w:hAnsi="Cambria"/>
          <w:sz w:val="22"/>
          <w:szCs w:val="22"/>
        </w:rPr>
        <w:t xml:space="preserve">1. A filiação partidária no prazo de 1 ano antes do pleito não é condição de elegibilidade do militar da ativa que pretenda concorrer a cargo eletivo. 2. O </w:t>
      </w:r>
      <w:r>
        <w:rPr>
          <w:rFonts w:ascii="Cambria" w:hAnsi="Cambria"/>
          <w:b/>
          <w:bCs/>
          <w:sz w:val="22"/>
          <w:szCs w:val="22"/>
        </w:rPr>
        <w:t>Policial Militar que não exerce função de comando não se submete ao prazo de desincompatibilização previsto no art. 1o., VII, alínea “b” da LC 64/90, devendo-se afastar no período estipulado pela legislação para o Servidor Público em geral, qual seja, três meses antes do pleito (Precedentes do TSE e do TRE/GO).</w:t>
      </w:r>
      <w:r>
        <w:rPr>
          <w:rFonts w:ascii="Cambria" w:hAnsi="Cambria"/>
          <w:sz w:val="22"/>
          <w:szCs w:val="22"/>
        </w:rPr>
        <w:t xml:space="preserve">  3. Superada a questão relativa à filiação partidária do candidato e comprovada a tempestiva desincompatibilização, impõe-se o deferimento do registro da candidatura. 4. RECURSO CONHECIDO E PROVIDO</w:t>
      </w:r>
      <w:r>
        <w:rPr>
          <w:rStyle w:val="Ncoradanotaderodap"/>
          <w:rFonts w:ascii="Cambria" w:hAnsi="Cambria"/>
          <w:sz w:val="22"/>
          <w:szCs w:val="22"/>
        </w:rPr>
        <w:footnoteReference w:id="4"/>
      </w:r>
      <w:r>
        <w:rPr>
          <w:rFonts w:ascii="Cambria" w:hAnsi="Cambria"/>
          <w:sz w:val="22"/>
          <w:szCs w:val="22"/>
        </w:rPr>
        <w:t xml:space="preserve"> (gn)</w:t>
      </w:r>
    </w:p>
    <w:p>
      <w:pPr>
        <w:pStyle w:val="Standard"/>
        <w:spacing w:lineRule="auto" w:line="360"/>
        <w:ind w:right="-284" w:firstLine="2268"/>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E não poderia ser outra a interpretação, sob pena de tornar tábula rasa o </w:t>
      </w:r>
      <w:r>
        <w:rPr>
          <w:rFonts w:ascii="Cambria" w:hAnsi="Cambria"/>
          <w:b/>
          <w:sz w:val="24"/>
          <w:szCs w:val="24"/>
        </w:rPr>
        <w:t>PRINCÍPIO CONSTITUCIONAL DA ISONOMIA</w:t>
      </w:r>
      <w:r>
        <w:rPr>
          <w:rFonts w:ascii="Cambria" w:hAnsi="Cambria"/>
          <w:sz w:val="24"/>
          <w:szCs w:val="24"/>
        </w:rPr>
        <w:t>. Em outras palavras, caso prevaleça o teor da Consulta do TSE (a que faz referência o tópico anterior), estar-se-á privilegiando uma determinada categoria (classe) de agentes (militares que não exercem a função de comando) em detrimento dos demais servidores públicos em geral, os quais estão condicionados à desincompatibilização no prazo de 03 (três) meses antes das eleições.</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u w:val="single"/>
        </w:rPr>
        <w:t xml:space="preserve">Ora Excelências, qual a justificativa para tamanho privilégio e gritante desigualdade, já que servidores públicos em geral precisam se afastar no </w:t>
      </w:r>
      <w:r>
        <w:rPr>
          <w:rFonts w:ascii="Cambria" w:hAnsi="Cambria"/>
          <w:b/>
          <w:sz w:val="24"/>
          <w:szCs w:val="24"/>
          <w:u w:val="single"/>
        </w:rPr>
        <w:t>mínimo 3 meses antes do pleito, ou seja, 90 dias</w:t>
      </w:r>
      <w:r>
        <w:rPr>
          <w:rFonts w:ascii="Cambria" w:hAnsi="Cambria"/>
          <w:sz w:val="24"/>
          <w:szCs w:val="24"/>
          <w:u w:val="single"/>
        </w:rPr>
        <w:t xml:space="preserve">, sendo que se prevalecer a sentença do juízo de piso, do afastamento da data do registro de candidatura, os militares da ativa sem cargo de comando </w:t>
      </w:r>
      <w:r>
        <w:rPr>
          <w:rFonts w:ascii="Cambria" w:hAnsi="Cambria"/>
          <w:b/>
          <w:sz w:val="24"/>
          <w:szCs w:val="24"/>
          <w:u w:val="single"/>
        </w:rPr>
        <w:t>precisarão se afastar pouco mais de 45 dias.</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Em outras palavras, </w:t>
      </w:r>
      <w:r>
        <w:rPr>
          <w:rFonts w:ascii="Cambria" w:hAnsi="Cambria"/>
          <w:sz w:val="24"/>
          <w:szCs w:val="24"/>
          <w:u w:val="single"/>
        </w:rPr>
        <w:t>a violação do princípio da isonomia é flagrante, pois para todos os outros casos o prazo mínimo de desincompatibilização é 90 dias e para os militares da ativa seria apenas aproximadamente 45 dias</w:t>
      </w:r>
      <w:r>
        <w:rPr>
          <w:rFonts w:ascii="Cambria" w:hAnsi="Cambria"/>
          <w:sz w:val="24"/>
          <w:szCs w:val="24"/>
        </w:rPr>
        <w:t xml:space="preserve">. </w:t>
      </w:r>
      <w:r>
        <w:rPr>
          <w:rFonts w:ascii="Cambria" w:hAnsi="Cambria"/>
          <w:b/>
          <w:sz w:val="24"/>
          <w:szCs w:val="24"/>
          <w:u w:val="single"/>
        </w:rPr>
        <w:t>Praticamente metade do tempo!!!</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Nem é preciso dizer que a desincompatibilização objetiva “preservar a isonomia entre os candidatos durante o processo eletivo, o legislador infraconstitucional estabeleceu prazos de desincompatibilização (entre três e seis meses, a contar da eleição) no intuito de diminuir ao máximo eventual influência do exercício de determinados cargos ou funções na livre autodeterminação do eleitorado (...) A ideia do legislador é que o exercício de fato de determinados cargos ou funções, em período próximo ao pleito, já se traduz em uma potencial quebra da igualdade de chances entre as candidaturas”</w:t>
      </w:r>
      <w:r>
        <w:rPr>
          <w:rStyle w:val="Ncoradanotaderodap"/>
          <w:rFonts w:ascii="Cambria" w:hAnsi="Cambria"/>
          <w:sz w:val="24"/>
          <w:szCs w:val="24"/>
        </w:rPr>
        <w:footnoteReference w:id="5"/>
      </w:r>
      <w:r>
        <w:rPr>
          <w:rFonts w:ascii="Cambria" w:hAnsi="Cambria"/>
          <w:sz w:val="24"/>
          <w:szCs w:val="24"/>
        </w:rPr>
        <w:t>.</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Nesse diapasão, assevera </w:t>
      </w:r>
      <w:r>
        <w:rPr>
          <w:rFonts w:ascii="Cambria" w:hAnsi="Cambria"/>
          <w:color w:val="000000"/>
          <w:sz w:val="24"/>
          <w:szCs w:val="24"/>
        </w:rPr>
        <w:t>Rodrigo López Zilio</w:t>
      </w:r>
      <w:r>
        <w:rPr>
          <w:rStyle w:val="Ncoradanotaderodap"/>
          <w:rFonts w:ascii="Cambria" w:hAnsi="Cambria"/>
          <w:color w:val="000000"/>
          <w:sz w:val="24"/>
          <w:szCs w:val="24"/>
        </w:rPr>
        <w:footnoteReference w:id="6"/>
      </w:r>
      <w:r>
        <w:rPr>
          <w:rFonts w:ascii="Cambria" w:hAnsi="Cambria"/>
          <w:color w:val="000000"/>
          <w:sz w:val="24"/>
          <w:szCs w:val="24"/>
        </w:rPr>
        <w:t xml:space="preserve"> que: “A igualdade de condições entre os candidatos nas disputas eleitorais é um dos principais objetivos do Direito Eleitoral. </w:t>
      </w:r>
      <w:r>
        <w:rPr>
          <w:rFonts w:ascii="Cambria" w:hAnsi="Cambria"/>
          <w:b/>
          <w:bCs/>
          <w:color w:val="000000"/>
          <w:sz w:val="24"/>
          <w:szCs w:val="24"/>
        </w:rPr>
        <w:t>As oportunidades de acesso aos mandatos eletivos devem ser concedidas de forma equânime a todos os concorrentes</w:t>
      </w:r>
      <w:r>
        <w:rPr>
          <w:rFonts w:ascii="Cambria" w:hAnsi="Cambria"/>
          <w:color w:val="000000"/>
          <w:sz w:val="24"/>
          <w:szCs w:val="24"/>
        </w:rPr>
        <w:t>".</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 xml:space="preserve">Vale ressaltar que, nos termos do art. 14, § 9º, da CR/88, a necessidade de afastamento (desincompatibilização) visa "proteger a normalidade e legitimidade das eleições contra a influência do poder econômico ou </w:t>
      </w:r>
      <w:r>
        <w:rPr>
          <w:rFonts w:ascii="Cambria" w:hAnsi="Cambria"/>
          <w:b/>
          <w:bCs/>
          <w:sz w:val="24"/>
          <w:szCs w:val="24"/>
          <w:u w:val="single"/>
        </w:rPr>
        <w:t>o abuso do exercício de função, cargo ou emprego na administração direta ou indireta</w:t>
      </w:r>
      <w:r>
        <w:rPr>
          <w:rFonts w:ascii="Cambria" w:hAnsi="Cambria"/>
          <w:sz w:val="24"/>
          <w:szCs w:val="24"/>
        </w:rPr>
        <w:t>".</w:t>
      </w:r>
    </w:p>
    <w:p>
      <w:pPr>
        <w:pStyle w:val="Standard"/>
        <w:spacing w:lineRule="auto" w:line="360"/>
        <w:ind w:right="-283" w:firstLine="1701"/>
        <w:jc w:val="both"/>
        <w:rPr>
          <w:rFonts w:ascii="Cambria" w:hAnsi="Cambria"/>
          <w:sz w:val="24"/>
          <w:szCs w:val="24"/>
        </w:rPr>
      </w:pPr>
      <w:r>
        <w:rPr>
          <w:rFonts w:ascii="Cambria" w:hAnsi="Cambria"/>
          <w:sz w:val="24"/>
          <w:szCs w:val="24"/>
        </w:rPr>
      </w:r>
    </w:p>
    <w:p>
      <w:pPr>
        <w:pStyle w:val="Standard"/>
        <w:spacing w:lineRule="auto" w:line="360"/>
        <w:ind w:right="-283" w:firstLine="1701"/>
        <w:jc w:val="both"/>
        <w:rPr>
          <w:sz w:val="24"/>
          <w:szCs w:val="24"/>
        </w:rPr>
      </w:pPr>
      <w:r>
        <w:rPr>
          <w:rFonts w:ascii="Cambria" w:hAnsi="Cambria"/>
          <w:sz w:val="24"/>
          <w:szCs w:val="24"/>
        </w:rPr>
        <w:t>Em homenagem a referido comando constitucional, a LC 64/90 estabeleceu diversos prazos de desincompatibilização, até mesmo para os militares que exercem a função de comando, como a título de exemplo transcreve-se o seguinte:</w:t>
      </w:r>
    </w:p>
    <w:p>
      <w:pPr>
        <w:pStyle w:val="Standard"/>
        <w:spacing w:lineRule="auto" w:line="360"/>
        <w:ind w:right="-284" w:firstLine="2268"/>
        <w:jc w:val="both"/>
        <w:rPr>
          <w:sz w:val="24"/>
          <w:szCs w:val="24"/>
        </w:rPr>
      </w:pPr>
      <w:r>
        <w:rPr>
          <w:rFonts w:ascii="Cambria" w:hAnsi="Cambria"/>
          <w:sz w:val="24"/>
          <w:szCs w:val="24"/>
        </w:rPr>
        <w:t xml:space="preserve"> </w:t>
      </w:r>
    </w:p>
    <w:p>
      <w:pPr>
        <w:pStyle w:val="Standard"/>
        <w:spacing w:lineRule="auto" w:line="360"/>
        <w:ind w:left="2268" w:right="-283" w:hanging="0"/>
        <w:jc w:val="both"/>
        <w:rPr>
          <w:sz w:val="22"/>
          <w:szCs w:val="22"/>
        </w:rPr>
      </w:pPr>
      <w:r>
        <w:rPr>
          <w:rFonts w:ascii="Cambria" w:hAnsi="Cambria"/>
          <w:color w:val="000000"/>
          <w:sz w:val="22"/>
          <w:szCs w:val="22"/>
        </w:rPr>
        <w:t xml:space="preserve">Art. 1º, II, b) </w:t>
      </w:r>
      <w:r>
        <w:rPr>
          <w:rFonts w:ascii="Cambria" w:hAnsi="Cambria"/>
          <w:b/>
          <w:bCs/>
          <w:color w:val="000000"/>
          <w:sz w:val="22"/>
          <w:szCs w:val="22"/>
          <w:u w:val="single"/>
        </w:rPr>
        <w:t>até 6 (seis) meses</w:t>
      </w:r>
      <w:r>
        <w:rPr>
          <w:rFonts w:ascii="Cambria" w:hAnsi="Cambria"/>
          <w:color w:val="000000"/>
          <w:sz w:val="22"/>
          <w:szCs w:val="22"/>
        </w:rPr>
        <w:t xml:space="preserve"> depois de afastados definitivamente de seus cargos ou funções. 1. os chefes dos Gabinetes Civil e Militar do Governador do Estado ou do Distrito Federal”.</w:t>
      </w:r>
    </w:p>
    <w:p>
      <w:pPr>
        <w:pStyle w:val="Standard"/>
        <w:spacing w:lineRule="auto" w:line="360"/>
        <w:ind w:firstLine="2268"/>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Ora, se o militar que exerce função de comando e o servidor público em geral necessitam se afastar do cargo que ocupam com a antecedência prevista na </w:t>
      </w:r>
      <w:r>
        <w:rPr>
          <w:rFonts w:ascii="Cambria" w:hAnsi="Cambria"/>
          <w:b/>
          <w:sz w:val="24"/>
          <w:szCs w:val="24"/>
        </w:rPr>
        <w:t>LEI COMPLEMENTAR</w:t>
      </w:r>
      <w:r>
        <w:rPr>
          <w:rFonts w:ascii="Cambria" w:hAnsi="Cambria"/>
          <w:sz w:val="24"/>
          <w:szCs w:val="24"/>
        </w:rPr>
        <w:t>, por qual motivo os demais militares não precisariam seguir a LEI COMPLEMENTAR????</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Assim, o deferimento da candidatura do recorrido, sem o respeito ao prazo de desincompatibilização trazido na </w:t>
      </w:r>
      <w:r>
        <w:rPr>
          <w:rFonts w:ascii="Cambria" w:hAnsi="Cambria"/>
          <w:b/>
          <w:sz w:val="24"/>
          <w:szCs w:val="24"/>
        </w:rPr>
        <w:t>Lei Complementar 64/90</w:t>
      </w:r>
      <w:r>
        <w:rPr>
          <w:rFonts w:ascii="Cambria" w:hAnsi="Cambria"/>
          <w:sz w:val="24"/>
          <w:szCs w:val="24"/>
        </w:rPr>
        <w:t xml:space="preserve">, </w:t>
      </w:r>
      <w:r>
        <w:rPr>
          <w:rFonts w:ascii="Cambria" w:hAnsi="Cambria"/>
          <w:sz w:val="24"/>
          <w:szCs w:val="24"/>
          <w:u w:val="single"/>
        </w:rPr>
        <w:t>de no mínimo 3 meses</w:t>
      </w:r>
      <w:r>
        <w:rPr>
          <w:rFonts w:ascii="Cambria" w:hAnsi="Cambria"/>
          <w:sz w:val="24"/>
          <w:szCs w:val="24"/>
        </w:rPr>
        <w:t xml:space="preserve">, por equiparação a todos os outros servidores e agentes públicos em geral, </w:t>
      </w:r>
      <w:r>
        <w:rPr>
          <w:rFonts w:ascii="Cambria" w:hAnsi="Cambria"/>
          <w:b/>
          <w:sz w:val="24"/>
          <w:szCs w:val="24"/>
        </w:rPr>
        <w:t>traz enorme vantagem à classe militar</w:t>
      </w:r>
      <w:r>
        <w:rPr>
          <w:rFonts w:ascii="Cambria" w:hAnsi="Cambria"/>
          <w:sz w:val="24"/>
          <w:szCs w:val="24"/>
        </w:rPr>
        <w:t>, em flagrante prejuízo aos demais candidatos que se afastaram de suas atividades nos três meses que antecedem ao pleito.</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Além da violação do art. 14, § 9º, da CF, também </w:t>
      </w:r>
      <w:r>
        <w:rPr>
          <w:rFonts w:ascii="Cambria" w:hAnsi="Cambria"/>
          <w:b/>
          <w:sz w:val="24"/>
          <w:szCs w:val="24"/>
        </w:rPr>
        <w:t>flagrante a violação do princípio constitucional da isonomia</w:t>
      </w:r>
      <w:r>
        <w:rPr>
          <w:rFonts w:ascii="Cambria" w:hAnsi="Cambria"/>
          <w:sz w:val="24"/>
          <w:szCs w:val="24"/>
        </w:rPr>
        <w:t xml:space="preserve">, previsto no art. 5º, </w:t>
      </w:r>
      <w:r>
        <w:rPr>
          <w:rFonts w:ascii="Cambria" w:hAnsi="Cambria"/>
          <w:i/>
          <w:sz w:val="24"/>
          <w:szCs w:val="24"/>
        </w:rPr>
        <w:t>caput</w:t>
      </w:r>
      <w:r>
        <w:rPr>
          <w:rFonts w:ascii="Cambria" w:hAnsi="Cambria"/>
          <w:sz w:val="24"/>
          <w:szCs w:val="24"/>
        </w:rPr>
        <w:t xml:space="preserve">, da CF, cujo corolário no direito eleitoral, entre outros, é a </w:t>
      </w:r>
      <w:r>
        <w:rPr>
          <w:rFonts w:ascii="Cambria" w:hAnsi="Cambria"/>
          <w:b/>
          <w:sz w:val="24"/>
          <w:szCs w:val="24"/>
        </w:rPr>
        <w:t>igualdade entre os candidatos</w:t>
      </w:r>
      <w:r>
        <w:rPr>
          <w:rFonts w:ascii="Cambria" w:hAnsi="Cambria"/>
          <w:sz w:val="24"/>
          <w:szCs w:val="24"/>
        </w:rPr>
        <w:t>, especialmente em situações semelhantes.</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b/>
          <w:bCs/>
          <w:sz w:val="24"/>
          <w:szCs w:val="24"/>
          <w:u w:val="single"/>
        </w:rPr>
        <w:t>5. Do caráter NÃO VINCULANTE da consulta (11551) 0601066-64.2017.6.00.0000 – TSE</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O juízo monocrático utilizou-se, como um dos fundamentos da sentença, a consulta </w:t>
      </w:r>
      <w:r>
        <w:rPr>
          <w:rFonts w:ascii="Cambria" w:hAnsi="Cambria"/>
          <w:i/>
          <w:iCs/>
          <w:sz w:val="24"/>
          <w:szCs w:val="24"/>
        </w:rPr>
        <w:t xml:space="preserve">suso </w:t>
      </w:r>
      <w:r>
        <w:rPr>
          <w:rFonts w:ascii="Cambria" w:hAnsi="Cambria"/>
          <w:sz w:val="24"/>
          <w:szCs w:val="24"/>
        </w:rPr>
        <w:t>referida, e fixou o entendimento segundo o qual o prazo para desincompatibilização do militar se dá com a formalização do pedido de registro de sua candidatura do militar.</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Mas, como visto acima, a consulta foi </w:t>
      </w:r>
      <w:r>
        <w:rPr>
          <w:rFonts w:ascii="Cambria" w:hAnsi="Cambria"/>
          <w:b/>
          <w:sz w:val="24"/>
          <w:szCs w:val="24"/>
        </w:rPr>
        <w:t>interpretada a partir de uma Lei que não foi recepcionada pela Constituição de 1988</w:t>
      </w:r>
      <w:r>
        <w:rPr>
          <w:rFonts w:ascii="Cambria" w:hAnsi="Cambria"/>
          <w:sz w:val="24"/>
          <w:szCs w:val="24"/>
        </w:rPr>
        <w:t xml:space="preserve">. E, ainda que assim não fosse, o entendimento emanado pelo Tribunal Superior Eleitoral, por meio de tal ato (consulta), </w:t>
      </w:r>
      <w:r>
        <w:rPr>
          <w:rFonts w:ascii="Cambria" w:hAnsi="Cambria"/>
          <w:b/>
          <w:sz w:val="24"/>
          <w:szCs w:val="24"/>
        </w:rPr>
        <w:t>não possui caráter vinculante</w:t>
      </w:r>
      <w:r>
        <w:rPr>
          <w:rFonts w:ascii="Cambria" w:hAnsi="Cambria"/>
          <w:sz w:val="24"/>
          <w:szCs w:val="24"/>
        </w:rPr>
        <w:t>, de sorte que o juiz eleitoral não está obrigado a seguir a orientação ali prevista (na consulta).</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 xml:space="preserve">De fato. As consultas refletem uma orientação, motivo pelo qual não possuem caráter normativo. Nas palavras de </w:t>
      </w:r>
      <w:r>
        <w:rPr>
          <w:rFonts w:ascii="Cambria" w:hAnsi="Cambria"/>
          <w:color w:val="000000"/>
          <w:sz w:val="24"/>
          <w:szCs w:val="24"/>
        </w:rPr>
        <w:t>Rodrigo López Zilio</w:t>
      </w:r>
      <w:r>
        <w:rPr>
          <w:rStyle w:val="Ncoradanotaderodap"/>
          <w:rFonts w:ascii="Cambria" w:hAnsi="Cambria"/>
          <w:color w:val="000000"/>
          <w:sz w:val="24"/>
          <w:szCs w:val="24"/>
        </w:rPr>
        <w:footnoteReference w:id="7"/>
      </w:r>
      <w:r>
        <w:rPr>
          <w:rFonts w:ascii="Cambria" w:hAnsi="Cambria"/>
          <w:color w:val="000000"/>
          <w:sz w:val="24"/>
          <w:szCs w:val="24"/>
        </w:rPr>
        <w:t>, a resposta à consulta “não tem natureza normativa, ou seja, não vincula o Tribunal, o consulente ou a terceiros; no mesmo norte, não tem conteúdo decisório. Apenas serve como orientação, em tese, sobre determinada matéria eleitoral, não significando que no julgamento de um caso concreto, quando observado o devido processo legal e o contraditório, o órgão consulente adotará as mesmas diretrizes expostas na consulta”.</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Logo, não cabe ao TSE, por meio de uma consulta, criar novos prazos de desincompatibilização ou restringir hipóteses de inelegibilidade previstas em Lei complementar por expressa disposição do art. 14, § 9º, da CF!!!</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b/>
          <w:bCs/>
          <w:sz w:val="24"/>
          <w:szCs w:val="24"/>
          <w:u w:val="single"/>
        </w:rPr>
        <w:t>6. Do prequestionamento</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sz w:val="24"/>
          <w:szCs w:val="24"/>
        </w:rPr>
        <w:t>Por se tratar de matéria que é abordada por lei infraconstitucional (art. 1º, inciso I, alínea l, da LC 64/1990) e pela própria Constituição Federal (arts. 5º, caput, e 14, §§ 8º, 9º, da CF), desde já, prequestiona-se o assunto objeto do presente recurso, para fim de eventual recurso às instâncias superiores (TSE e STF).</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b/>
          <w:bCs/>
          <w:sz w:val="24"/>
          <w:szCs w:val="24"/>
          <w:u w:val="single"/>
        </w:rPr>
        <w:t>7. Do pedido</w:t>
      </w:r>
    </w:p>
    <w:p>
      <w:pPr>
        <w:pStyle w:val="Standard"/>
        <w:spacing w:lineRule="auto" w:line="360"/>
        <w:ind w:firstLine="1701"/>
        <w:jc w:val="both"/>
        <w:rPr>
          <w:rFonts w:ascii="Cambria" w:hAnsi="Cambria"/>
          <w:sz w:val="24"/>
          <w:szCs w:val="24"/>
        </w:rPr>
      </w:pPr>
      <w:r>
        <w:rPr>
          <w:rFonts w:ascii="Cambria" w:hAnsi="Cambria"/>
          <w:sz w:val="24"/>
          <w:szCs w:val="24"/>
        </w:rPr>
      </w:r>
    </w:p>
    <w:p>
      <w:pPr>
        <w:pStyle w:val="Standard"/>
        <w:widowControl/>
        <w:suppressAutoHyphens w:val="true"/>
        <w:overflowPunct w:val="false"/>
        <w:bidi w:val="0"/>
        <w:spacing w:lineRule="auto" w:line="360" w:before="0" w:after="0"/>
        <w:ind w:firstLine="1701"/>
        <w:jc w:val="both"/>
        <w:rPr>
          <w:sz w:val="24"/>
          <w:szCs w:val="24"/>
        </w:rPr>
      </w:pPr>
      <w:r>
        <w:rPr>
          <w:rFonts w:ascii="Cambria" w:hAnsi="Cambria"/>
          <w:sz w:val="24"/>
          <w:szCs w:val="24"/>
        </w:rPr>
        <w:t xml:space="preserve">À luz do exposto, o </w:t>
      </w:r>
      <w:r>
        <w:rPr>
          <w:rFonts w:ascii="Cambria" w:hAnsi="Cambria"/>
          <w:b/>
          <w:bCs/>
          <w:sz w:val="24"/>
          <w:szCs w:val="24"/>
        </w:rPr>
        <w:t>Ministério Público Eleitoral,</w:t>
      </w:r>
      <w:r>
        <w:rPr>
          <w:rFonts w:ascii="Cambria" w:hAnsi="Cambria"/>
          <w:sz w:val="24"/>
          <w:szCs w:val="24"/>
        </w:rPr>
        <w:t xml:space="preserve"> por seu representante, requer o conhecimento do presente recurso e o seu integral </w:t>
      </w:r>
      <w:r>
        <w:rPr>
          <w:rFonts w:ascii="Cambria" w:hAnsi="Cambria"/>
          <w:b/>
          <w:bCs/>
          <w:sz w:val="24"/>
          <w:szCs w:val="24"/>
          <w:u w:val="single"/>
        </w:rPr>
        <w:t>PROVIMENTO</w:t>
      </w:r>
      <w:r>
        <w:rPr>
          <w:rFonts w:ascii="Cambria" w:hAnsi="Cambria"/>
          <w:sz w:val="24"/>
          <w:szCs w:val="24"/>
        </w:rPr>
        <w:t xml:space="preserve">, de modo a reformar a sentença de primeiro grau e </w:t>
      </w:r>
      <w:r>
        <w:rPr>
          <w:rFonts w:ascii="Cambria" w:hAnsi="Cambria"/>
          <w:b/>
          <w:bCs/>
          <w:sz w:val="24"/>
          <w:szCs w:val="24"/>
          <w:u w:val="single"/>
        </w:rPr>
        <w:t>INDEFERIR</w:t>
      </w:r>
      <w:r>
        <w:rPr>
          <w:rFonts w:ascii="Cambria" w:hAnsi="Cambria"/>
          <w:sz w:val="24"/>
          <w:szCs w:val="24"/>
        </w:rPr>
        <w:t xml:space="preserve"> o pedido de registro de candidatura do Recorrido.</w:t>
      </w:r>
    </w:p>
    <w:p>
      <w:pPr>
        <w:pStyle w:val="Standard"/>
        <w:widowControl/>
        <w:suppressAutoHyphens w:val="true"/>
        <w:overflowPunct w:val="false"/>
        <w:bidi w:val="0"/>
        <w:spacing w:lineRule="auto" w:line="360" w:before="0" w:after="0"/>
        <w:ind w:firstLine="1701"/>
        <w:jc w:val="both"/>
        <w:rPr>
          <w:sz w:val="24"/>
          <w:szCs w:val="24"/>
        </w:rPr>
      </w:pPr>
      <w:r>
        <w:rPr>
          <w:sz w:val="24"/>
          <w:szCs w:val="24"/>
        </w:rPr>
      </w:r>
    </w:p>
    <w:p>
      <w:pPr>
        <w:pStyle w:val="Normal"/>
        <w:widowControl/>
        <w:suppressAutoHyphens w:val="true"/>
        <w:overflowPunct w:val="false"/>
        <w:bidi w:val="0"/>
        <w:spacing w:lineRule="auto" w:line="360" w:before="0" w:after="0"/>
        <w:ind w:left="0" w:right="0" w:firstLine="1701"/>
        <w:jc w:val="both"/>
        <w:rPr>
          <w:sz w:val="24"/>
          <w:szCs w:val="24"/>
        </w:rPr>
      </w:pPr>
      <w:r>
        <w:rPr>
          <w:rFonts w:cs="Arial" w:ascii="Cambria" w:hAnsi="Cambria"/>
          <w:color w:val="000000"/>
          <w:sz w:val="24"/>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57"/>
        <w:jc w:val="center"/>
        <w:rPr>
          <w:sz w:val="24"/>
          <w:szCs w:val="24"/>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jc w:val="both"/>
        <w:rPr/>
      </w:pPr>
      <w:r>
        <w:rPr>
          <w:rStyle w:val="Caracteresdenotaderodap"/>
        </w:rPr>
        <w:footnoteRef/>
      </w:r>
      <w:r>
        <w:rPr/>
        <w:t xml:space="preserve"> </w:t>
      </w:r>
      <w:r>
        <w:rPr>
          <w:rFonts w:cs="Arial" w:ascii="Arial" w:hAnsi="Arial"/>
          <w:sz w:val="18"/>
          <w:szCs w:val="18"/>
        </w:rPr>
        <w:t xml:space="preserve">NIESS. Pedro Henrigue Távora. Direito Eleitoral, São Paulo, Editora Edipro, 1º edição, 2016, página 148 </w:t>
      </w:r>
      <w:r>
        <w:rPr>
          <w:rFonts w:cs="Arial" w:ascii="Arial" w:hAnsi="Arial"/>
          <w:i/>
          <w:iCs/>
          <w:sz w:val="18"/>
          <w:szCs w:val="18"/>
        </w:rPr>
        <w:t xml:space="preserve">usque </w:t>
      </w:r>
      <w:r>
        <w:rPr>
          <w:rFonts w:cs="Arial" w:ascii="Arial" w:hAnsi="Arial"/>
          <w:sz w:val="18"/>
          <w:szCs w:val="18"/>
        </w:rPr>
        <w:t>149.</w:t>
      </w:r>
    </w:p>
  </w:footnote>
  <w:footnote w:id="3">
    <w:p>
      <w:pPr>
        <w:pStyle w:val="Footnote"/>
        <w:jc w:val="both"/>
        <w:rPr/>
      </w:pPr>
      <w:r>
        <w:rPr>
          <w:rStyle w:val="Caracteresdenotaderodap"/>
        </w:rPr>
        <w:footnoteRef/>
      </w:r>
      <w:r>
        <w:rPr/>
        <w:t xml:space="preserve"> </w:t>
      </w:r>
      <w:r>
        <w:rPr>
          <w:rFonts w:cs="Arial" w:ascii="Arial" w:hAnsi="Arial"/>
          <w:sz w:val="18"/>
          <w:szCs w:val="18"/>
        </w:rPr>
        <w:t xml:space="preserve"> </w:t>
      </w:r>
      <w:r>
        <w:rPr>
          <w:rFonts w:cs="Arial" w:ascii="Arial" w:hAnsi="Arial"/>
          <w:sz w:val="18"/>
          <w:szCs w:val="18"/>
        </w:rPr>
        <w:t>TRE/MT, Rel. JUIZ FRANCISCO ALEXANDRE FERREIRA MENDES NETO, publicado em sessão – 31.8.2012.</w:t>
      </w:r>
    </w:p>
  </w:footnote>
  <w:footnote w:id="4">
    <w:p>
      <w:pPr>
        <w:pStyle w:val="Footnote"/>
        <w:rPr/>
      </w:pPr>
      <w:r>
        <w:rPr>
          <w:rStyle w:val="Caracteresdenotaderodap"/>
        </w:rPr>
        <w:footnoteRef/>
      </w:r>
      <w:r>
        <w:rPr/>
        <w:t xml:space="preserve"> </w:t>
      </w:r>
      <w:r>
        <w:rPr>
          <w:rFonts w:cs="Arial" w:ascii="Arial" w:hAnsi="Arial"/>
          <w:sz w:val="26"/>
          <w:szCs w:val="26"/>
        </w:rPr>
        <w:t xml:space="preserve"> </w:t>
      </w:r>
      <w:r>
        <w:rPr>
          <w:rFonts w:cs="Arial" w:ascii="Arial" w:hAnsi="Arial"/>
          <w:sz w:val="18"/>
          <w:szCs w:val="18"/>
        </w:rPr>
        <w:t>TRE/GO, RE 85-27, Rel. Desembargador JOÃO WALDECK FELIX DE SOUSA, publicado em sessão – 27.10.2012.</w:t>
      </w:r>
    </w:p>
  </w:footnote>
  <w:footnote w:id="5">
    <w:p>
      <w:pPr>
        <w:pStyle w:val="Footnote1"/>
        <w:rPr/>
      </w:pPr>
      <w:r>
        <w:rPr>
          <w:rStyle w:val="Caracteresdenotaderodap"/>
        </w:rPr>
        <w:footnoteRef/>
      </w:r>
      <w:r>
        <w:rPr/>
        <w:tab/>
        <w:t xml:space="preserve"> </w:t>
      </w:r>
      <w:r>
        <w:rPr>
          <w:sz w:val="18"/>
          <w:szCs w:val="18"/>
        </w:rPr>
        <w:t>ZILIO, Rodrigo Lopez.</w:t>
      </w:r>
      <w:r>
        <w:rPr/>
        <w:t xml:space="preserve"> </w:t>
      </w:r>
      <w:r>
        <w:rPr>
          <w:sz w:val="18"/>
          <w:szCs w:val="18"/>
        </w:rPr>
        <w:t>Direito Eleitoral. 7 ed. Rev. Ampl. E atual. Salvador: Juspodivm, 2020 – pgs. 345/346.</w:t>
      </w:r>
    </w:p>
  </w:footnote>
  <w:footnote w:id="6">
    <w:p>
      <w:pPr>
        <w:pStyle w:val="Footnote"/>
        <w:rPr/>
      </w:pPr>
      <w:r>
        <w:rPr>
          <w:rStyle w:val="Caracteresdenotaderodap"/>
        </w:rPr>
        <w:footnoteRef/>
      </w:r>
      <w:r>
        <w:rPr>
          <w:rFonts w:cs="Arial" w:ascii="Arial" w:hAnsi="Arial"/>
          <w:sz w:val="18"/>
          <w:szCs w:val="18"/>
        </w:rPr>
        <w:t xml:space="preserve"> </w:t>
      </w:r>
      <w:r>
        <w:rPr>
          <w:rFonts w:cs="Arial" w:ascii="Arial" w:hAnsi="Arial"/>
          <w:sz w:val="18"/>
          <w:szCs w:val="18"/>
        </w:rPr>
        <w:t>Direito Eleitoral. 7 ed. Rev. Ampl. E atual. Salvador: Juspodivm, 2020 – pgs. 47 e 48.</w:t>
      </w:r>
    </w:p>
  </w:footnote>
  <w:footnote w:id="7">
    <w:p>
      <w:pPr>
        <w:pStyle w:val="Footnote"/>
        <w:rPr/>
      </w:pPr>
      <w:r>
        <w:rPr>
          <w:rStyle w:val="Caracteresdenotaderodap"/>
        </w:rPr>
        <w:footnoteRef/>
      </w:r>
      <w:r>
        <w:rPr>
          <w:rFonts w:cs="Arial" w:ascii="Arial" w:hAnsi="Arial"/>
          <w:sz w:val="18"/>
          <w:szCs w:val="18"/>
        </w:rPr>
        <w:t xml:space="preserve"> </w:t>
      </w:r>
      <w:r>
        <w:rPr>
          <w:rFonts w:cs="Arial" w:ascii="Arial" w:hAnsi="Arial"/>
          <w:sz w:val="18"/>
          <w:szCs w:val="18"/>
        </w:rPr>
        <w:t>Direito Eleitoral. 7 ed. Rev. Ampl. E atual. Salvador: Juspodivm, 2020 – pg.67.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suppressAutoHyphens w:val="true"/>
      <w:bidi w:val="0"/>
      <w:spacing w:before="0" w:after="0"/>
      <w:jc w:val="left"/>
      <w:textAlignment w:val="baseline"/>
    </w:pPr>
    <w:rPr>
      <w:rFonts w:ascii="Arial" w:hAnsi="Arial" w:eastAsia="Times New Roman" w:cs="Arial"/>
      <w:color w:val="auto"/>
      <w:kern w:val="0"/>
      <w:sz w:val="20"/>
      <w:szCs w:val="20"/>
      <w:lang w:bidi="ar-SA" w:val="pt-BR" w:eastAsia="zh-CN"/>
    </w:rPr>
  </w:style>
  <w:style w:type="paragraph" w:styleId="Footnote">
    <w:name w:val="footnote"/>
    <w:qFormat/>
    <w:pPr>
      <w:widowControl/>
      <w:suppressAutoHyphens w:val="true"/>
      <w:bidi w:val="0"/>
      <w:spacing w:before="0" w:after="0"/>
      <w:jc w:val="left"/>
      <w:textAlignment w:val="baseline"/>
    </w:pPr>
    <w:rPr>
      <w:rFonts w:eastAsia="Times New Roman" w:cs="Times New Roman" w:ascii="Times New Roman" w:hAnsi="Times New Roman"/>
      <w:color w:val="auto"/>
      <w:kern w:val="0"/>
      <w:sz w:val="20"/>
      <w:szCs w:val="20"/>
      <w:lang w:val="pt-BR" w:eastAsia="zh-CN" w:bidi="hi-IN"/>
    </w:rPr>
  </w:style>
  <w:style w:type="paragraph" w:styleId="Footnote1">
    <w:name w:val="Footnote"/>
    <w:basedOn w:val="Standard"/>
    <w:qFormat/>
    <w:pPr>
      <w:suppressLineNumbers/>
      <w:ind w:left="283" w:hanging="283"/>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10</Pages>
  <Words>2502</Words>
  <Characters>13448</Characters>
  <CharactersWithSpaces>15893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2023-06-07T05:46:29Z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