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38B5" w14:textId="77777777" w:rsidR="00AE3B2F" w:rsidRDefault="000507F6">
      <w:pPr>
        <w:jc w:val="both"/>
        <w:rPr>
          <w:b/>
          <w:bCs/>
        </w:rPr>
      </w:pPr>
      <w:r>
        <w:rPr>
          <w:b/>
          <w:bCs/>
        </w:rPr>
        <w:t>EXCELENTÍSSIMA SENHORA DOUTORA JUÍZA DE DIREITO DA VARA DA INFÂNCIA E DA JUVENTUDE DA COMARCA DE PAULO AFONSO, ESTADO DA BAHIA</w:t>
      </w:r>
    </w:p>
    <w:p w14:paraId="672A6659" w14:textId="77777777" w:rsidR="00AE3B2F" w:rsidRDefault="00AE3B2F"/>
    <w:p w14:paraId="597E6318" w14:textId="77777777" w:rsidR="00F46C38" w:rsidRDefault="00F46C38"/>
    <w:p w14:paraId="52461A04" w14:textId="77777777" w:rsidR="00F46C38" w:rsidRDefault="00F46C38"/>
    <w:p w14:paraId="2F51B405" w14:textId="77777777" w:rsidR="00F46C38" w:rsidRDefault="00F46C38"/>
    <w:p w14:paraId="397220B8" w14:textId="77777777" w:rsidR="00F46C38" w:rsidRDefault="00F46C38"/>
    <w:p w14:paraId="362D5AD5" w14:textId="77777777" w:rsidR="00F46C38" w:rsidRDefault="00F46C38"/>
    <w:p w14:paraId="4CEFD93A" w14:textId="77777777" w:rsidR="00AE3B2F" w:rsidRDefault="000507F6">
      <w:pPr>
        <w:pStyle w:val="Corpodetexto"/>
        <w:jc w:val="right"/>
        <w:rPr>
          <w:b/>
          <w:bCs/>
          <w:color w:val="C9211E"/>
        </w:rPr>
      </w:pPr>
      <w:r>
        <w:rPr>
          <w:b/>
          <w:bCs/>
          <w:color w:val="C9211E"/>
        </w:rPr>
        <w:t>PEDIDO LIMINAR</w:t>
      </w:r>
    </w:p>
    <w:p w14:paraId="3C2E24F0" w14:textId="77777777" w:rsidR="00AE3B2F" w:rsidRDefault="000507F6">
      <w:pPr>
        <w:pStyle w:val="Corpodetexto"/>
        <w:jc w:val="right"/>
        <w:rPr>
          <w:b/>
          <w:bCs/>
          <w:color w:val="C9211E"/>
        </w:rPr>
      </w:pPr>
      <w:r>
        <w:rPr>
          <w:b/>
          <w:bCs/>
          <w:color w:val="C9211E"/>
        </w:rPr>
        <w:t>SEGREDO DE JUSTIÇA</w:t>
      </w:r>
    </w:p>
    <w:p w14:paraId="6A05A809" w14:textId="77777777" w:rsidR="00AE3B2F" w:rsidRDefault="00AE3B2F">
      <w:pPr>
        <w:pStyle w:val="Corpodetexto"/>
      </w:pPr>
    </w:p>
    <w:p w14:paraId="72A3D3EC" w14:textId="77777777" w:rsidR="00AE3B2F" w:rsidRDefault="00AE3B2F">
      <w:pPr>
        <w:pStyle w:val="Corpodetexto"/>
      </w:pPr>
    </w:p>
    <w:p w14:paraId="48C7467C" w14:textId="77777777" w:rsidR="00F46C38" w:rsidRDefault="00F46C38">
      <w:pPr>
        <w:pStyle w:val="Corpodetexto"/>
      </w:pPr>
    </w:p>
    <w:p w14:paraId="1C094E0A" w14:textId="77777777" w:rsidR="00F46C38" w:rsidRDefault="00F46C38">
      <w:pPr>
        <w:pStyle w:val="Corpodetexto"/>
      </w:pPr>
    </w:p>
    <w:p w14:paraId="1DF21162" w14:textId="77777777" w:rsidR="00F46C38" w:rsidRDefault="00F46C38">
      <w:pPr>
        <w:pStyle w:val="Corpodetexto"/>
      </w:pPr>
    </w:p>
    <w:p w14:paraId="6DC41BC3" w14:textId="77777777" w:rsidR="00F46C38" w:rsidRDefault="00F46C38">
      <w:pPr>
        <w:pStyle w:val="Corpodetexto"/>
      </w:pPr>
    </w:p>
    <w:p w14:paraId="0D0B940D" w14:textId="77777777" w:rsidR="00AE3B2F" w:rsidRDefault="00AE3B2F">
      <w:pPr>
        <w:pStyle w:val="Corpodetexto"/>
      </w:pPr>
    </w:p>
    <w:p w14:paraId="44B8E7E5" w14:textId="060E3532" w:rsidR="00AE3B2F" w:rsidRDefault="6807277A">
      <w:pPr>
        <w:pStyle w:val="Corpodetexto"/>
      </w:pPr>
      <w:r w:rsidRPr="6807277A">
        <w:t xml:space="preserve">O </w:t>
      </w:r>
      <w:r w:rsidRPr="6807277A">
        <w:rPr>
          <w:b/>
          <w:bCs/>
        </w:rPr>
        <w:t>MINISTÉRIO PÚBLICO DO ESTADO DA BAHIA</w:t>
      </w:r>
      <w:r w:rsidRPr="6807277A">
        <w:t xml:space="preserve">, pelo Promotor de Justiça que ao final subscreve, vem, perante Vossa Excelência, com fundamento nos </w:t>
      </w:r>
      <w:proofErr w:type="spellStart"/>
      <w:r w:rsidRPr="6807277A">
        <w:t>arts</w:t>
      </w:r>
      <w:proofErr w:type="spellEnd"/>
      <w:r w:rsidRPr="6807277A">
        <w:t>. 127 e 129, III, da Constituição da República, bem como no art. 25, IV, “a”, da Lei nº 8.625/1993 (Lei Orgânica Nacional do Ministério Público), no art. 1º, IV c/c art. 5º, I, da Lei no 7.347/85 e no art. 208 da Lei nº 8.069/90 (Estatuto da Criança e do Adolescente - ECA), propor a presente</w:t>
      </w:r>
    </w:p>
    <w:p w14:paraId="50E2AB83" w14:textId="77777777" w:rsidR="00AE3B2F" w:rsidRDefault="000507F6">
      <w:pPr>
        <w:pStyle w:val="Ttulo"/>
      </w:pPr>
      <w:r>
        <w:t>AÇÃO CIVIL PÚBLICA COM PEDIDO DE LIMINAR</w:t>
      </w:r>
    </w:p>
    <w:p w14:paraId="00EC61DD" w14:textId="4429FE8E" w:rsidR="744DE310" w:rsidRDefault="744DE310" w:rsidP="744DE310">
      <w:pPr>
        <w:pStyle w:val="Corpodetexto"/>
      </w:pPr>
      <w:r>
        <w:t xml:space="preserve">em face de </w:t>
      </w:r>
      <w:r w:rsidRPr="744DE310">
        <w:rPr>
          <w:b/>
          <w:bCs/>
        </w:rPr>
        <w:t>ROQUELINO DOS SANTOS SOUZA</w:t>
      </w:r>
      <w:r>
        <w:t xml:space="preserve">, portador do CPF nº </w:t>
      </w:r>
      <w:r w:rsidR="00EC6501">
        <w:t>NNN</w:t>
      </w:r>
      <w:r>
        <w:t xml:space="preserve">, Camaçari/BA, </w:t>
      </w:r>
    </w:p>
    <w:p w14:paraId="4111EDB7" w14:textId="30E4E6E0" w:rsidR="6DA9F79D" w:rsidRDefault="6DA9F79D" w:rsidP="6DA9F79D">
      <w:pPr>
        <w:pStyle w:val="Corpodetexto"/>
        <w:rPr>
          <w:b/>
          <w:bCs/>
        </w:rPr>
      </w:pPr>
      <w:r w:rsidRPr="744DE310">
        <w:rPr>
          <w:b/>
          <w:bCs/>
        </w:rPr>
        <w:t xml:space="preserve">BAHIA NO AR LTDA, </w:t>
      </w:r>
      <w:r>
        <w:t xml:space="preserve">nome fantasia BAHIA NO AR, inscrito no CNPJ sob o nº </w:t>
      </w:r>
      <w:r w:rsidR="00EC6501">
        <w:t>NNN</w:t>
      </w:r>
      <w:r w:rsidR="00970F77">
        <w:t xml:space="preserve"> (WhatsApp)</w:t>
      </w:r>
      <w:r>
        <w:t>,</w:t>
      </w:r>
    </w:p>
    <w:p w14:paraId="3E1F0685" w14:textId="77777777" w:rsidR="00AE3B2F" w:rsidRDefault="000507F6">
      <w:pPr>
        <w:pStyle w:val="Corpodetexto"/>
      </w:pPr>
      <w:r>
        <w:t>pelos motivos de fato e de direito a seguir expostos.</w:t>
      </w:r>
    </w:p>
    <w:p w14:paraId="53ADB3C1" w14:textId="77777777" w:rsidR="00AE3B2F" w:rsidRDefault="000507F6">
      <w:pPr>
        <w:pStyle w:val="Ttulo1"/>
        <w:numPr>
          <w:ilvl w:val="0"/>
          <w:numId w:val="2"/>
        </w:numPr>
      </w:pPr>
      <w:r>
        <w:t>FATOS</w:t>
      </w:r>
    </w:p>
    <w:p w14:paraId="55DFD9AD" w14:textId="0EFA9402" w:rsidR="00AE3B2F" w:rsidRDefault="6807277A">
      <w:pPr>
        <w:pStyle w:val="Corpodetexto"/>
      </w:pPr>
      <w:r>
        <w:t xml:space="preserve">Consta dos autos do procedimento ministerial anexo (Idea nº </w:t>
      </w:r>
      <w:r w:rsidR="6DA9F79D">
        <w:t>705.9.75028/2022</w:t>
      </w:r>
      <w:r>
        <w:t>) que os réus são responsáveis pelo domínio “</w:t>
      </w:r>
      <w:r w:rsidR="6DA9F79D" w:rsidRPr="744DE310">
        <w:rPr>
          <w:b/>
          <w:bCs/>
        </w:rPr>
        <w:t>bahianoar.com</w:t>
      </w:r>
      <w:r>
        <w:t>” e publicou conteúdo eletrônico que divulga retrato em alta resolução e outras informações que permitem a identificação de criança vítima de violência sexual, o qual permanece disponível mesmo depois de receber notificação do Ministério Público.</w:t>
      </w:r>
    </w:p>
    <w:p w14:paraId="0B2B74BE" w14:textId="1FD8DD16" w:rsidR="007C735A" w:rsidRDefault="007C735A" w:rsidP="007C735A">
      <w:pPr>
        <w:pStyle w:val="Corpodetexto"/>
      </w:pPr>
      <w:r>
        <w:lastRenderedPageBreak/>
        <w:t>Tal conduta está incluída em estratégia midiática de viés sensacionalista, que atrai a atenção dos consumidores do noticiário para a triste condição de uma criança com apenas dois anos que morreu em razão do abuso sexual praticado pelo companheiro de sua própria mãe. A partir da grande audiência gerada, os réus são</w:t>
      </w:r>
      <w:r w:rsidR="003B4AD2">
        <w:t xml:space="preserve"> </w:t>
      </w:r>
      <w:r>
        <w:t>premiados com o aumento da receita originada a partir da cessão de espaços para veiculação de publicidade e para a coleta de dados pessoais daqueles que acessam o endereço de internet respectivo.</w:t>
      </w:r>
    </w:p>
    <w:p w14:paraId="1D2A4E67" w14:textId="2E54BF59" w:rsidR="007C735A" w:rsidRDefault="007C735A" w:rsidP="007C735A">
      <w:pPr>
        <w:pStyle w:val="Corpodetexto"/>
      </w:pPr>
      <w:r>
        <w:t>A presente demanda, portanto, busca obter provimento jurisdicional no sentido de condenar os réus à obrigação de fazer, consistente na remoção de conteúdo publicado na internet, que viola o direito fundamental ao respeito de criança vítima de violência, e ao pagamento de compensação pelo dano moral coletivo decorrente da conduta ilícita.</w:t>
      </w:r>
    </w:p>
    <w:p w14:paraId="7B0E93CA" w14:textId="77777777" w:rsidR="007C735A" w:rsidRDefault="007C735A" w:rsidP="007C735A">
      <w:pPr>
        <w:pStyle w:val="Ttulo1"/>
        <w:numPr>
          <w:ilvl w:val="0"/>
          <w:numId w:val="2"/>
        </w:numPr>
      </w:pPr>
      <w:r>
        <w:t>LEGITIMIDADE ATIVA</w:t>
      </w:r>
    </w:p>
    <w:p w14:paraId="7948AC6F" w14:textId="77777777" w:rsidR="007C735A" w:rsidRDefault="007C735A" w:rsidP="007C735A">
      <w:pPr>
        <w:pStyle w:val="Corpodetexto"/>
      </w:pPr>
      <w:r>
        <w:t xml:space="preserve">Há legitimidade do Ministério Público para atuar no caso, pois as hipóteses previstas no art. 208 do Estatuto da Criança e do Adolescente “não excluem da proteção judicial outros interesses individuais, difusos ou coletivos, próprios da infância e da adolescência, protegidos pela Constituição e pela Lei” (art. 208, § 1º), inclusive a pretensão compensatória decorrente de dano moral coletivo (STJ, </w:t>
      </w:r>
      <w:proofErr w:type="spellStart"/>
      <w:r>
        <w:t>REsp</w:t>
      </w:r>
      <w:proofErr w:type="spellEnd"/>
      <w:r>
        <w:t xml:space="preserve"> 1517973/PE, QUARTA TURMA, j. 16/11/2017).</w:t>
      </w:r>
    </w:p>
    <w:p w14:paraId="740C087F" w14:textId="77777777" w:rsidR="007C735A" w:rsidRDefault="007C735A" w:rsidP="007C735A">
      <w:pPr>
        <w:pStyle w:val="Ttulo1"/>
        <w:numPr>
          <w:ilvl w:val="0"/>
          <w:numId w:val="2"/>
        </w:numPr>
      </w:pPr>
      <w:r>
        <w:t>FUNDAMENTOS JURÍDICOS</w:t>
      </w:r>
    </w:p>
    <w:p w14:paraId="0CAED8D1" w14:textId="77777777" w:rsidR="007C735A" w:rsidRDefault="007C735A" w:rsidP="007C735A">
      <w:pPr>
        <w:pStyle w:val="Corpodetexto"/>
      </w:pPr>
      <w:r>
        <w:t xml:space="preserve">Esse tipo de conduta no ambiente cibernético viola o dever, previsto constitucionalmente, “da sociedade assegurar à criança, ao adolescente e ao jovem, com absoluta prioridade, o direito [...] à dignidade, ao respeito, [...], além de </w:t>
      </w:r>
      <w:r>
        <w:rPr>
          <w:b/>
          <w:bCs/>
        </w:rPr>
        <w:t>colocá-los a salvo de toda forma de negligência, discriminação, exploração, violência, crueldade e opressão</w:t>
      </w:r>
      <w:r>
        <w:t xml:space="preserve">” (art. 227, </w:t>
      </w:r>
      <w:r>
        <w:rPr>
          <w:i/>
          <w:iCs/>
        </w:rPr>
        <w:t>caput</w:t>
      </w:r>
      <w:r>
        <w:t>, da Constituição Federal, destacado).</w:t>
      </w:r>
    </w:p>
    <w:p w14:paraId="2AC073F6" w14:textId="77777777" w:rsidR="007C735A" w:rsidRDefault="007C735A" w:rsidP="007C735A">
      <w:pPr>
        <w:pStyle w:val="Corpodetexto"/>
      </w:pPr>
      <w:r>
        <w:t>Além disso, por força de norma supralegal, crianças e adolescentes não podem ser “objeto de interferências arbitrárias ou ilegais em sua vida particular, sua família, seu domicílio ou sua correspondência, nem de atentados ilegais a sua honra e a sua reputação” (art. 16, 1, da Convenção sobre os Direitos da Criança, promulgada pelo Decreto nº 99.710/1989) e “têm direito à liberdade, ao respeito e à dignidade como pessoas humanas em processo de desenvolvimento e como sujeitos de direitos civis, humanos e sociais garantidos na Constituição e nas leis” (art. 15 do Estatuto da Criança e do Adolescente).</w:t>
      </w:r>
    </w:p>
    <w:p w14:paraId="342D7A63" w14:textId="77777777" w:rsidR="007C735A" w:rsidRDefault="007C735A" w:rsidP="007C735A">
      <w:pPr>
        <w:pStyle w:val="Corpodetexto"/>
      </w:pPr>
      <w:r w:rsidRPr="6807277A">
        <w:t xml:space="preserve">O direito fundamental ao respeito inclui a “inviolabilidade da integridade física, psíquica e moral da criança e do adolescente, abrangendo a preservação da imagem” (art. 17 do Estatuto da Criança e do Adolescente), tanto que a Lei nº 13.431/2017, ao estabelecer o específico sistema de garantia de direitos da criança e do adolescente, exige que eles devem “ter a </w:t>
      </w:r>
      <w:r w:rsidRPr="6807277A">
        <w:rPr>
          <w:b/>
          <w:bCs/>
        </w:rPr>
        <w:t>intimidade e as condições pessoais protegidas</w:t>
      </w:r>
      <w:r w:rsidRPr="6807277A">
        <w:t xml:space="preserve"> quando vítima ou testemunha de violência” (art. 5º, III, destacado).</w:t>
      </w:r>
    </w:p>
    <w:p w14:paraId="4FBCEF85" w14:textId="77777777" w:rsidR="007C735A" w:rsidRDefault="007C735A" w:rsidP="007C735A">
      <w:pPr>
        <w:pStyle w:val="Corpodetexto"/>
      </w:pPr>
      <w:r>
        <w:t xml:space="preserve">Tais vítimas e toda a coletividade também são tuteladas pela Lei nº 12.965/2014 (Marco Civil da Internet), pois o seu uso deve estar fundado no dever de </w:t>
      </w:r>
      <w:r>
        <w:lastRenderedPageBreak/>
        <w:t xml:space="preserve">respeitar “os direitos humanos, o desenvolvimento da personalidade e o exercício da cidadania em meios digitais”, além da “finalidade social da rede” (art. 2º, II e Vi), com expressa previsão de responsabilidade do provedor de aplicação caso, “após ordem judicial específica, não tomar as providências para, no âmbito e nos limites técnicos do seu serviço e dentro do prazo assinalado, tornar indisponível o conteúdo” (art. 19, </w:t>
      </w:r>
      <w:r>
        <w:rPr>
          <w:i/>
          <w:iCs/>
        </w:rPr>
        <w:t>caput</w:t>
      </w:r>
      <w:r>
        <w:t>).</w:t>
      </w:r>
    </w:p>
    <w:p w14:paraId="1E3DAD11" w14:textId="77777777" w:rsidR="007C735A" w:rsidRDefault="007C735A" w:rsidP="007C735A">
      <w:pPr>
        <w:pStyle w:val="Corpodetexto"/>
      </w:pPr>
      <w:r>
        <w:t>Importante destacar que não existe vedação legal à publicação de notícia jornalística acerca de atos violentos praticados contra crianças ou adolescentes. O que não se permite é explorar a sua imagem com o intuito de obter ganhos financeiros a partir da grande audiência gerada pela linha editorial sensacionalista.</w:t>
      </w:r>
    </w:p>
    <w:p w14:paraId="3F25204B" w14:textId="77777777" w:rsidR="007C735A" w:rsidRDefault="007C735A" w:rsidP="007C735A">
      <w:pPr>
        <w:pStyle w:val="Corpodetexto"/>
      </w:pPr>
      <w:r>
        <w:t xml:space="preserve">A liberdade de imprensa, portanto, “deve figurar como </w:t>
      </w:r>
      <w:r>
        <w:rPr>
          <w:b/>
          <w:bCs/>
        </w:rPr>
        <w:t>pressuposto […] à tutela da dignidade humana</w:t>
      </w:r>
      <w:r>
        <w:t xml:space="preserve">, que somente será efetiva uma vez abandonado o modelo atual, meramente reparatório, em prol de um modelo preventivo de danos à personalidade, legitimado pelos procedimentos adequados e pela transparência de fundamentação das decisões judiciais. Ao julgador, a sensibilidade de perceber se já se faz possível abandonar o atávico receio da censura, em direção a uma efetiva e democraticamente legítima tutela da pessoa humana” (Eduardo Nunes de Souza. Direito e Mídia. Coordenação Anderson </w:t>
      </w:r>
      <w:proofErr w:type="spellStart"/>
      <w:r>
        <w:t>Schreiber</w:t>
      </w:r>
      <w:proofErr w:type="spellEnd"/>
      <w:r>
        <w:t>. São Paulo: Atlas, 2013, p. 327).</w:t>
      </w:r>
    </w:p>
    <w:p w14:paraId="0E54C327" w14:textId="77777777" w:rsidR="007C735A" w:rsidRPr="002D5517" w:rsidRDefault="007C735A" w:rsidP="007C735A">
      <w:pPr>
        <w:pStyle w:val="Corpodetexto"/>
      </w:pPr>
      <w:r w:rsidRPr="002D5517">
        <w:t>O Superior Tribunal de Justiça, avançando na interpretação adequada do art. 19 do Marco Civil da Internet, proferiu recente decisão, assim ementada:</w:t>
      </w:r>
    </w:p>
    <w:p w14:paraId="64CF63D7" w14:textId="77777777" w:rsidR="007C735A" w:rsidRPr="002D5517" w:rsidRDefault="007C735A" w:rsidP="007C735A">
      <w:pPr>
        <w:pStyle w:val="Citaes"/>
      </w:pPr>
      <w:r w:rsidRPr="002D5517">
        <w:t>DIREITO CIVIL, INFANTOJUVENIL E TELEMÁTICO. PROVEDOR DE APLICAÇÃO. REDE SOCIAL. DANOS MORAIS E À IMAGEM. PUBLICAÇÃO OFENSIVA. CONTEÚDO ENVOLVENDO MENOR DE IDADE. RETIRADA. ORDEM JUDICIAL. DESNECESSIDADE. PROTEÇÃO INTEGRAL. DEVER DE TODA A SOCIEDADE. OMISSÃO RELEVANTE. RESPONSABILIDADE CIVIL CONFIGURADA.</w:t>
      </w:r>
    </w:p>
    <w:p w14:paraId="0336238C" w14:textId="77777777" w:rsidR="007C735A" w:rsidRPr="002D5517" w:rsidRDefault="007C735A" w:rsidP="007C735A">
      <w:pPr>
        <w:pStyle w:val="Citaes"/>
      </w:pPr>
      <w:r w:rsidRPr="002D5517">
        <w:t xml:space="preserve">1. O Estatuto da Criança e do Adolescente (art. 18) e a Constituição Federal (art. 227) impõem, como dever de toda a sociedade, zelar pela dignidade da criança e do adolescente, colocando-os a salvo de toda forma de negligência, discriminação, exploração, violência, crueldade e opressão, com a finalidade, inclusive, de evitar qualquer tipo de tratamento vexatório ou constrangedor. 1.1. As leis protetivas do direito da infância e da adolescência possuem natureza especialíssima, pertencendo à categoria de diploma legal que se propaga por todas as demais normas, com a função de proteger sujeitos específicos, ainda que também estejam sob a tutela de outras leis especiais. 1.2. Para atender ao princípio da proteção integral consagrado no direito </w:t>
      </w:r>
      <w:proofErr w:type="spellStart"/>
      <w:r w:rsidRPr="002D5517">
        <w:t>infantojuvenil</w:t>
      </w:r>
      <w:proofErr w:type="spellEnd"/>
      <w:r w:rsidRPr="002D5517">
        <w:t>, é dever do provedor de aplicação na rede mundial de computadores (Internet) proceder à retirada de conteúdo envolvendo menor de idade – relacionado à acusação de que seu genitor havia praticado crimes de natureza sexual – logo após ser formalmente comunicado da publicação ofensiva, independentemente de ordem judicial.</w:t>
      </w:r>
    </w:p>
    <w:p w14:paraId="4EFE6FAD" w14:textId="77777777" w:rsidR="007C735A" w:rsidRPr="002D5517" w:rsidRDefault="007C735A" w:rsidP="007C735A">
      <w:pPr>
        <w:pStyle w:val="Citaes"/>
      </w:pPr>
      <w:r w:rsidRPr="002D5517">
        <w:t>2. O provedor de aplicação que, após notificado, nega-se a excluir publicação ofensiva envolvendo menor de idade, deve ser responsabilizado civilmente, cabendo impor-lhe o pagamento de indenização pelos danos morais causados à vítima da ofensa.</w:t>
      </w:r>
    </w:p>
    <w:p w14:paraId="120F1413" w14:textId="77777777" w:rsidR="007C735A" w:rsidRPr="002D5517" w:rsidRDefault="007C735A" w:rsidP="007C735A">
      <w:pPr>
        <w:pStyle w:val="Citaes"/>
      </w:pPr>
      <w:r w:rsidRPr="002D5517">
        <w:lastRenderedPageBreak/>
        <w:t>2.1. A responsabilidade civil, em tal circunstância, deve ser analisada sob o enfoque da relevante omissão de sua conduta, pois deixou de adotar providências que, indubitavelmente sob seu alcance, minimizariam os efeitos do ato danoso praticado por terceiro, o que era seu dever.</w:t>
      </w:r>
    </w:p>
    <w:p w14:paraId="6781C74F" w14:textId="77777777" w:rsidR="007C735A" w:rsidRPr="002D5517" w:rsidRDefault="007C735A" w:rsidP="007C735A">
      <w:pPr>
        <w:pStyle w:val="Citaes"/>
      </w:pPr>
      <w:r w:rsidRPr="002D5517">
        <w:t>2.2. Nesses termos, afigura-se insuficiente a aplicação isolada do art. 19 da Lei Federal n. 12.965/2014, o qual, interpretado à luz do art. 5º, X, da Constituição Federal, não impede a responsabilização do provedor de serviços por outras formas de atos ilícitos, que não se limitam ao descumprimento da ordem judicial a que se refere o dispositivo da lei especial.</w:t>
      </w:r>
    </w:p>
    <w:p w14:paraId="78C81A8E" w14:textId="77777777" w:rsidR="007C735A" w:rsidRPr="002D5517" w:rsidRDefault="007C735A" w:rsidP="007C735A">
      <w:pPr>
        <w:pStyle w:val="Citaes"/>
      </w:pPr>
      <w:r w:rsidRPr="002D5517">
        <w:t>3. Recurso especial a que se nega provimento.</w:t>
      </w:r>
    </w:p>
    <w:p w14:paraId="2FAFB944" w14:textId="77777777" w:rsidR="007C735A" w:rsidRDefault="007C735A" w:rsidP="007C735A">
      <w:pPr>
        <w:pStyle w:val="Citaes"/>
      </w:pPr>
      <w:r w:rsidRPr="002D5517">
        <w:t xml:space="preserve">(STJ - </w:t>
      </w:r>
      <w:proofErr w:type="spellStart"/>
      <w:r w:rsidRPr="002D5517">
        <w:t>REsp</w:t>
      </w:r>
      <w:proofErr w:type="spellEnd"/>
      <w:r w:rsidRPr="002D5517">
        <w:t xml:space="preserve">: 1783269 MG 2017/0262755-5, Relator: Ministro ANTONIO CARLOS FERREIRA, Data de Julgamento: 14/12/2021, T4 - QUARTA TURMA, Data de Publicação: </w:t>
      </w:r>
      <w:proofErr w:type="spellStart"/>
      <w:r w:rsidRPr="002D5517">
        <w:t>DJe</w:t>
      </w:r>
      <w:proofErr w:type="spellEnd"/>
      <w:r w:rsidRPr="002D5517">
        <w:t xml:space="preserve"> 17/2/2022) </w:t>
      </w:r>
    </w:p>
    <w:p w14:paraId="03632CF7" w14:textId="77777777" w:rsidR="007C735A" w:rsidRPr="002D5517" w:rsidRDefault="007C735A" w:rsidP="007C735A">
      <w:pPr>
        <w:pStyle w:val="Citaes"/>
      </w:pPr>
    </w:p>
    <w:p w14:paraId="0EC0A93E" w14:textId="77777777" w:rsidR="007C735A" w:rsidRPr="002D5517" w:rsidRDefault="007C735A" w:rsidP="007C735A">
      <w:pPr>
        <w:pStyle w:val="Corpodetexto"/>
      </w:pPr>
      <w:r w:rsidRPr="002D5517">
        <w:t xml:space="preserve">Em seu voto, o relator destacou que, “por força do princípio da proteção integral da criança e do adolescente e sob a ótica de sua vulnerabilidade social, esta Corte Superior uniformizou o entendimento de que a veiculação da imagem de menor de idade pelos meios de comunicação, sem autorização do responsável, caracteriza ato ilícito por abuso do direito de informar, sendo o dever de indenizar o </w:t>
      </w:r>
      <w:r w:rsidRPr="002D5517">
        <w:rPr>
          <w:i/>
          <w:iCs/>
        </w:rPr>
        <w:t xml:space="preserve">dano in </w:t>
      </w:r>
      <w:proofErr w:type="spellStart"/>
      <w:r w:rsidRPr="002D5517">
        <w:rPr>
          <w:i/>
          <w:iCs/>
        </w:rPr>
        <w:t>re</w:t>
      </w:r>
      <w:proofErr w:type="spellEnd"/>
      <w:r w:rsidRPr="002D5517">
        <w:rPr>
          <w:i/>
          <w:iCs/>
        </w:rPr>
        <w:t xml:space="preserve"> </w:t>
      </w:r>
      <w:proofErr w:type="spellStart"/>
      <w:r w:rsidRPr="002D5517">
        <w:rPr>
          <w:i/>
          <w:iCs/>
        </w:rPr>
        <w:t>ipsa</w:t>
      </w:r>
      <w:proofErr w:type="spellEnd"/>
      <w:r w:rsidRPr="002D5517">
        <w:t>”. Essa jurisprudência, portanto, reafirma a necessidade de intervenção do Ministério Público em situações como a tratada neste procedimento.</w:t>
      </w:r>
    </w:p>
    <w:p w14:paraId="10297B21" w14:textId="77777777" w:rsidR="007C735A" w:rsidRDefault="007C735A" w:rsidP="007C735A">
      <w:pPr>
        <w:pStyle w:val="Corpodetexto"/>
      </w:pPr>
      <w:r w:rsidRPr="6807277A">
        <w:t xml:space="preserve">A ampla repercussão do conteúdo no espaço cibernético, por longo período, caracteriza lesão jurídica difusa, por atingir o sentimento geral de proteção à infância. A sociedade deve ser salvaguardada com uma reparação pelos </w:t>
      </w:r>
      <w:r w:rsidRPr="6807277A">
        <w:rPr>
          <w:b/>
          <w:bCs/>
        </w:rPr>
        <w:t>danos morais</w:t>
      </w:r>
      <w:r w:rsidRPr="6807277A">
        <w:t xml:space="preserve"> sofridos, que devem ser indenizados a toda a coletividade, na medida em que, segundo José dos Santos Carvalho Filho, “não apenas o indivíduo, isoladamente, é dotado de determinado padrão ético. Os grupos sociais, titulares de direitos </w:t>
      </w:r>
      <w:proofErr w:type="spellStart"/>
      <w:r w:rsidRPr="6807277A">
        <w:t>transindividuais</w:t>
      </w:r>
      <w:proofErr w:type="spellEnd"/>
      <w:r w:rsidRPr="6807277A">
        <w:t xml:space="preserve">, também o são. Assim, se for causado dano moral a um desses grupos pela violação a interesses coletivos ou difusos, presente estará o interesse de agir para a ação civil pública” (Ação Civil Pública. 7. ed. Rio de Janeiro: Editora </w:t>
      </w:r>
      <w:proofErr w:type="spellStart"/>
      <w:r w:rsidRPr="6807277A">
        <w:t>Lumen</w:t>
      </w:r>
      <w:proofErr w:type="spellEnd"/>
      <w:r w:rsidRPr="6807277A">
        <w:t xml:space="preserve"> Juris, 2009, p. 14).</w:t>
      </w:r>
    </w:p>
    <w:p w14:paraId="22655F08" w14:textId="77777777" w:rsidR="007C735A" w:rsidRDefault="007C735A" w:rsidP="007C735A">
      <w:pPr>
        <w:pStyle w:val="Corpodetexto"/>
      </w:pPr>
      <w:r>
        <w:t xml:space="preserve">Sendo assim, comprovada conduta violadora, a responsabilidade é objetiva, gerando a necessidade de reparação. Insta observar, na linha das lições do Prof. Xisto Tiago, que “[...] a responsabilidade objetiva é oriunda de ato ilícito pelo resultado gerado, e não pela própria natureza ilícita dessa conduta”, de tal sorte a obrigação de reparar é consequência do resultado ilícito produzido na esfera difusa da sociedade consumidora. Conclui que “a aparência de conformação legal do ato é desfeita ante o resultado “ilícito” obtido, fruto da ocorrência de abuso ou exercício irregular do direito, gerando a obrigação de reparação dos danos causados (materiais ou morais)” (Dano moral coletivo. 2. ed. São Paulo: </w:t>
      </w:r>
      <w:proofErr w:type="spellStart"/>
      <w:r>
        <w:t>LTr</w:t>
      </w:r>
      <w:proofErr w:type="spellEnd"/>
      <w:r>
        <w:t>, 2007, p. 4 e 30).</w:t>
      </w:r>
    </w:p>
    <w:p w14:paraId="25FB78AB" w14:textId="77777777" w:rsidR="007C735A" w:rsidRDefault="007C735A" w:rsidP="007C735A">
      <w:pPr>
        <w:pStyle w:val="Corpodetexto"/>
      </w:pPr>
      <w:r>
        <w:t xml:space="preserve">Sobre o tema, o Colendo Superior Tribunal assim se manifestou: “O dano moral coletivo, assim entendido o que é </w:t>
      </w:r>
      <w:proofErr w:type="spellStart"/>
      <w:r>
        <w:t>transindividual</w:t>
      </w:r>
      <w:proofErr w:type="spellEnd"/>
      <w:r>
        <w:t xml:space="preserve"> e atinge uma classe específica ou não de pessoas, é passível de comprovação pela presença de prejuízo à imagem e à moral coletiva dos indivíduos enquanto síntese das individualidades percebidas como segmento, derivado de uma mesma relação jurídica base. O dano extrapatrimonial coletivo prescinde da comprovação de dor, sofrimento e de abalo psicológico, </w:t>
      </w:r>
      <w:r>
        <w:lastRenderedPageBreak/>
        <w:t xml:space="preserve">suscetíveis de apreciação na esfera do indivíduo, mas inaplicável aos interesses difusos e coletivos.” Ademais, “não se pode também desconsiderar o caráter repressivo que informa a responsabilização pelo dano moral coletivo, já que sua previsão não apenas objetiva compensar a coletividade, revertendo o valor pecuniário em favor de fundo que a todos aproveita, como tem por fim punir aquele que, previamente avisado pela lei, violou interesse </w:t>
      </w:r>
      <w:proofErr w:type="spellStart"/>
      <w:r>
        <w:t>metavindividual</w:t>
      </w:r>
      <w:proofErr w:type="spellEnd"/>
      <w:r>
        <w:t xml:space="preserve">.” (STJ, </w:t>
      </w:r>
      <w:proofErr w:type="spellStart"/>
      <w:r>
        <w:t>Resp</w:t>
      </w:r>
      <w:proofErr w:type="spellEnd"/>
      <w:r>
        <w:t xml:space="preserve"> 1.057.274, Rel. Min, Eliana Calmon, Segunda Turma, julgado em 01/12/2009, </w:t>
      </w:r>
      <w:proofErr w:type="spellStart"/>
      <w:r>
        <w:t>DJe</w:t>
      </w:r>
      <w:proofErr w:type="spellEnd"/>
      <w:r>
        <w:t xml:space="preserve"> 26/02/2010)</w:t>
      </w:r>
    </w:p>
    <w:p w14:paraId="3B510BE4" w14:textId="77777777" w:rsidR="007C735A" w:rsidRDefault="007C735A" w:rsidP="007C735A">
      <w:pPr>
        <w:pStyle w:val="Corpodetexto"/>
      </w:pPr>
      <w:r>
        <w:t xml:space="preserve">A </w:t>
      </w:r>
      <w:r>
        <w:rPr>
          <w:b/>
          <w:bCs/>
        </w:rPr>
        <w:t>tutela de urgência</w:t>
      </w:r>
      <w:r>
        <w:t xml:space="preserve"> ora requerida está amparada nos fatos e fundamentos jurídicos antes expostos, atendendo aos requisitos autorizadores da medida liminar, na forma de tutela provisória de urgência (art. 300 do CPC), quais sejam, probabilidade do direito e perigo de dano. Cumpre destacar, sobre tal ponto, que a disponibilidade do conteúdo permite constantes replicações por meio de simples comandos eletrônicos, acessíveis a pessoas sem maiores conhecimentos sobre tecnologia, a exemplo da captura de tela do celular e do compartilhamento em aplicativos de mensagens.</w:t>
      </w:r>
    </w:p>
    <w:p w14:paraId="2F420684" w14:textId="77777777" w:rsidR="007C735A" w:rsidRDefault="007C735A" w:rsidP="007C735A">
      <w:pPr>
        <w:pStyle w:val="Corpodetexto"/>
      </w:pPr>
      <w:r w:rsidRPr="6807277A">
        <w:t>Conforme dicção do art. 497, parágrafo único, do Código de Processo Civil, “</w:t>
      </w:r>
      <w:r w:rsidRPr="6807277A">
        <w:rPr>
          <w:b/>
          <w:bCs/>
        </w:rPr>
        <w:t>para a concessão da tutela específica destinada a inibir a prática, a reiteração ou a continuação de um ilícito, ou a sua remoção, é irrelevante a demonstração da ocorrência de dano ou da existência de culpa ou dolo</w:t>
      </w:r>
      <w:r w:rsidRPr="6807277A">
        <w:t xml:space="preserve">” (destacado). Trata-se de inovação legislativa que incorporou construção doutrinária de Luiz Guilherme </w:t>
      </w:r>
      <w:proofErr w:type="spellStart"/>
      <w:r w:rsidRPr="6807277A">
        <w:t>Marinoni</w:t>
      </w:r>
      <w:proofErr w:type="spellEnd"/>
      <w:r w:rsidRPr="6807277A">
        <w:t>, para quem “o juiz, para prestar tutela de remoção, não precisa, nem pode indagar sobre culpa ou dolo. A culpa ou o dolo não apenas não precisam ser alegados, como não podem ser questionados pelo réu e investigados pelo juiz. Precisamente não há como determinar prova sobre dano e, bem por isso, a respeito de culpa ou dolo nas ações voltadas contra o ilícito” (Tutela contra o Ilícito, Revista do TST, Brasília, v. 81, n. 4, out/dez 2015).</w:t>
      </w:r>
    </w:p>
    <w:p w14:paraId="78DEB3D2" w14:textId="77777777" w:rsidR="00AE3B2F" w:rsidRDefault="000507F6">
      <w:pPr>
        <w:pStyle w:val="Ttulo1"/>
        <w:numPr>
          <w:ilvl w:val="0"/>
          <w:numId w:val="2"/>
        </w:numPr>
      </w:pPr>
      <w:r>
        <w:t>PEDIDOS</w:t>
      </w:r>
    </w:p>
    <w:p w14:paraId="0C6DABEA" w14:textId="77777777" w:rsidR="00AE3B2F" w:rsidRDefault="000507F6">
      <w:pPr>
        <w:pStyle w:val="Corpodetexto"/>
      </w:pPr>
      <w:r>
        <w:t xml:space="preserve">Ante o exposto, o Ministério Público requer, nos termos dos </w:t>
      </w:r>
      <w:proofErr w:type="spellStart"/>
      <w:r>
        <w:t>arts</w:t>
      </w:r>
      <w:proofErr w:type="spellEnd"/>
      <w:r>
        <w:t xml:space="preserve">. 497 e 498 c/c art. 300, todos do Código de Processo Civil, bem como nos </w:t>
      </w:r>
      <w:proofErr w:type="spellStart"/>
      <w:r>
        <w:t>arts</w:t>
      </w:r>
      <w:proofErr w:type="spellEnd"/>
      <w:r>
        <w:t>. 213 e 214 do Estatuto da Criança e do Adolescente:</w:t>
      </w:r>
    </w:p>
    <w:p w14:paraId="13B34D17" w14:textId="77777777" w:rsidR="00AE3B2F" w:rsidRDefault="000507F6">
      <w:pPr>
        <w:pStyle w:val="Corpodetexto"/>
        <w:numPr>
          <w:ilvl w:val="0"/>
          <w:numId w:val="3"/>
        </w:numPr>
      </w:pPr>
      <w:r>
        <w:t>O recebimento desta petição inicial e dos documentos que a instruem;</w:t>
      </w:r>
    </w:p>
    <w:p w14:paraId="7F046710" w14:textId="7D7FC037" w:rsidR="00AE3B2F" w:rsidRDefault="6807277A" w:rsidP="6DA9F79D">
      <w:pPr>
        <w:pStyle w:val="Corpodetexto"/>
        <w:numPr>
          <w:ilvl w:val="0"/>
          <w:numId w:val="3"/>
        </w:numPr>
        <w:rPr>
          <w:rFonts w:eastAsia="Arial" w:cs="Arial"/>
        </w:rPr>
      </w:pPr>
      <w:r>
        <w:t xml:space="preserve">A </w:t>
      </w:r>
      <w:r w:rsidRPr="744DE310">
        <w:rPr>
          <w:b/>
          <w:bCs/>
        </w:rPr>
        <w:t>concessão de tutela de urgência</w:t>
      </w:r>
      <w:r>
        <w:t xml:space="preserve"> para determinar aos réus que, no prazo de 24h, removam do endereço </w:t>
      </w:r>
      <w:r w:rsidR="00EC6501">
        <w:rPr>
          <w:b/>
          <w:bCs/>
        </w:rPr>
        <w:t>NNN</w:t>
      </w:r>
      <w:r>
        <w:t xml:space="preserve"> a imagem e qualquer dado pessoal que permita a identificação da vítima, sob pena de multa diária no valor de um salário-mínimo, a ser revertida ao Fundo Municipal de Direitos da Criança e do Adolescente;</w:t>
      </w:r>
    </w:p>
    <w:p w14:paraId="4FFEABC2" w14:textId="799ED1C7" w:rsidR="00AE3B2F" w:rsidRDefault="6807277A">
      <w:pPr>
        <w:pStyle w:val="Corpodetexto"/>
        <w:numPr>
          <w:ilvl w:val="0"/>
          <w:numId w:val="3"/>
        </w:numPr>
      </w:pPr>
      <w:r>
        <w:t>A citação dos réus nos endereços constantes desta inicial para apresentar resposta e para acompanharem a presente demanda em todo o seu trâmite;</w:t>
      </w:r>
    </w:p>
    <w:p w14:paraId="47E60645" w14:textId="70290F83" w:rsidR="00AE3B2F" w:rsidRDefault="6807277A">
      <w:pPr>
        <w:pStyle w:val="Corpodetexto"/>
        <w:numPr>
          <w:ilvl w:val="0"/>
          <w:numId w:val="3"/>
        </w:numPr>
      </w:pPr>
      <w:r>
        <w:t>O julgamento de procedência dos pedidos para confirmar a tutela provisória de urgência e condenar os réus ao pagamento de indenização a título de dano moral coletivo em valor a ser arbitrado pelo juízo, a ser revertida ao Fundo Municipal de Direitos da Criança e do Adolescente.</w:t>
      </w:r>
    </w:p>
    <w:p w14:paraId="77C9B84A" w14:textId="77777777" w:rsidR="00AE3B2F" w:rsidRDefault="000507F6">
      <w:pPr>
        <w:pStyle w:val="Corpodetexto"/>
      </w:pPr>
      <w:r>
        <w:lastRenderedPageBreak/>
        <w:t>Protesta provar por todos os meios legalmente admitidos, a serem especificadas no momento processual oportuno, e em especial a juntada dos documentos anexos.</w:t>
      </w:r>
    </w:p>
    <w:p w14:paraId="5649A01D" w14:textId="77777777" w:rsidR="00AE3B2F" w:rsidRDefault="000507F6">
      <w:pPr>
        <w:pStyle w:val="Corpodetexto"/>
      </w:pPr>
      <w:r>
        <w:t>Atribui à causa o valor de R$ 100.000,00 (cem mil reais).</w:t>
      </w:r>
    </w:p>
    <w:p w14:paraId="126A913A" w14:textId="2B3E5C53" w:rsidR="00970F77" w:rsidRDefault="00970F77" w:rsidP="00970F77">
      <w:pPr>
        <w:pStyle w:val="Corpodetexto"/>
      </w:pPr>
      <w:r w:rsidRPr="14A7D7A2">
        <w:t>Diante do risco de que a divulgação desta demanda acarrete o agravamento do quadro de ampla repercussão do conteúdo ilícito</w:t>
      </w:r>
      <w:r>
        <w:t xml:space="preserve">, </w:t>
      </w:r>
      <w:r w:rsidRPr="14A7D7A2">
        <w:t xml:space="preserve">pugna pela decretação do </w:t>
      </w:r>
      <w:r w:rsidRPr="14A7D7A2">
        <w:rPr>
          <w:b/>
          <w:bCs/>
        </w:rPr>
        <w:t>segredo de justiça</w:t>
      </w:r>
      <w:r w:rsidRPr="14A7D7A2">
        <w:t>.</w:t>
      </w:r>
    </w:p>
    <w:p w14:paraId="27E7C66D" w14:textId="1057547F" w:rsidR="00970F77" w:rsidRDefault="00970F77" w:rsidP="00970F77">
      <w:pPr>
        <w:pStyle w:val="Corpodetexto"/>
      </w:pPr>
      <w:r>
        <w:t xml:space="preserve">Na hipótese de deferimento da medida liminar, sugere seja determinada a </w:t>
      </w:r>
      <w:r w:rsidRPr="744DE310">
        <w:rPr>
          <w:b/>
          <w:bCs/>
        </w:rPr>
        <w:t>remessa de comunicação também aos contatos eletrônicos</w:t>
      </w:r>
      <w:r>
        <w:t xml:space="preserve"> indicados na qualificação dos réus, como forma de agilizar o seu cumprimento.</w:t>
      </w:r>
    </w:p>
    <w:p w14:paraId="2FD562E3" w14:textId="5D6B0A2E" w:rsidR="00AE3B2F" w:rsidRDefault="6807277A">
      <w:pPr>
        <w:pStyle w:val="Assinatura"/>
      </w:pPr>
      <w:r>
        <w:t xml:space="preserve">Paulo Afonso/BA, </w:t>
      </w:r>
      <w:r w:rsidR="003B4AD2">
        <w:t>8</w:t>
      </w:r>
      <w:r>
        <w:t xml:space="preserve"> de março de 2022.</w:t>
      </w:r>
    </w:p>
    <w:p w14:paraId="0E27B00A" w14:textId="77777777" w:rsidR="00AE3B2F" w:rsidRDefault="00AE3B2F">
      <w:pPr>
        <w:pStyle w:val="Assinatura"/>
      </w:pPr>
    </w:p>
    <w:p w14:paraId="46731482" w14:textId="77777777" w:rsidR="00AE3B2F" w:rsidRDefault="6807277A" w:rsidP="6807277A">
      <w:pPr>
        <w:pStyle w:val="Assinatura"/>
        <w:rPr>
          <w:i/>
          <w:iCs/>
          <w:sz w:val="22"/>
          <w:szCs w:val="22"/>
        </w:rPr>
      </w:pPr>
      <w:r w:rsidRPr="6807277A">
        <w:rPr>
          <w:i/>
          <w:iCs/>
        </w:rPr>
        <w:t>Assinado eletronicamente</w:t>
      </w:r>
    </w:p>
    <w:p w14:paraId="0AC268CA" w14:textId="77777777" w:rsidR="00AE3B2F" w:rsidRDefault="000507F6">
      <w:pPr>
        <w:pStyle w:val="Assinatura"/>
        <w:rPr>
          <w:sz w:val="22"/>
          <w:szCs w:val="22"/>
        </w:rPr>
      </w:pPr>
      <w:r>
        <w:t>Moacir Silva do Nascimento Júnior</w:t>
      </w:r>
    </w:p>
    <w:p w14:paraId="71490B16" w14:textId="7D0B864B" w:rsidR="00AE3B2F" w:rsidRDefault="000507F6" w:rsidP="003B4AD2">
      <w:pPr>
        <w:pStyle w:val="Assinatura"/>
      </w:pPr>
      <w:r>
        <w:t>Promotor de Justiça</w:t>
      </w:r>
    </w:p>
    <w:sectPr w:rsidR="00AE3B2F">
      <w:headerReference w:type="default" r:id="rId10"/>
      <w:footerReference w:type="default" r:id="rId11"/>
      <w:pgSz w:w="11906" w:h="16838"/>
      <w:pgMar w:top="2268" w:right="850" w:bottom="1191" w:left="1701" w:header="90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6A93" w14:textId="77777777" w:rsidR="00D40C00" w:rsidRDefault="00D40C00">
      <w:r>
        <w:separator/>
      </w:r>
    </w:p>
  </w:endnote>
  <w:endnote w:type="continuationSeparator" w:id="0">
    <w:p w14:paraId="09A49B25" w14:textId="77777777" w:rsidR="00D40C00" w:rsidRDefault="00D40C00">
      <w:r>
        <w:continuationSeparator/>
      </w:r>
    </w:p>
  </w:endnote>
  <w:endnote w:type="continuationNotice" w:id="1">
    <w:p w14:paraId="66D8FDB3" w14:textId="77777777" w:rsidR="00D40C00" w:rsidRDefault="00D40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Microsoft Ya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D184" w14:textId="77777777" w:rsidR="00AE3B2F" w:rsidRDefault="000507F6">
    <w:pPr>
      <w:pStyle w:val="Cabealho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A96D" w14:textId="77777777" w:rsidR="00D40C00" w:rsidRDefault="00D40C00">
      <w:r>
        <w:separator/>
      </w:r>
    </w:p>
  </w:footnote>
  <w:footnote w:type="continuationSeparator" w:id="0">
    <w:p w14:paraId="23E436E0" w14:textId="77777777" w:rsidR="00D40C00" w:rsidRDefault="00D40C00">
      <w:r>
        <w:continuationSeparator/>
      </w:r>
    </w:p>
  </w:footnote>
  <w:footnote w:type="continuationNotice" w:id="1">
    <w:p w14:paraId="527BB92E" w14:textId="77777777" w:rsidR="00D40C00" w:rsidRDefault="00D40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F467" w14:textId="77777777" w:rsidR="00AE3B2F" w:rsidRDefault="000507F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37A5D028" wp14:editId="07777777">
          <wp:simplePos x="0" y="0"/>
          <wp:positionH relativeFrom="column">
            <wp:posOffset>-1080135</wp:posOffset>
          </wp:positionH>
          <wp:positionV relativeFrom="paragraph">
            <wp:posOffset>-635635</wp:posOffset>
          </wp:positionV>
          <wp:extent cx="7560310" cy="123571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SEGUNDA PROMOTORIA DE JUSTIÇA DE PAULO AFONSO</w:t>
    </w:r>
  </w:p>
  <w:p w14:paraId="4A7C69A1" w14:textId="77777777" w:rsidR="00AE3B2F" w:rsidRDefault="000507F6">
    <w:pPr>
      <w:pStyle w:val="Cabealho"/>
    </w:pPr>
    <w:r>
      <w:t xml:space="preserve">Av. Carlos </w:t>
    </w:r>
    <w:proofErr w:type="spellStart"/>
    <w:r>
      <w:t>Berenhauser</w:t>
    </w:r>
    <w:proofErr w:type="spellEnd"/>
    <w:r>
      <w:t xml:space="preserve"> Junior, s/n, Centro | 48608-080</w:t>
    </w:r>
  </w:p>
  <w:p w14:paraId="2A7A4231" w14:textId="77777777" w:rsidR="00AE3B2F" w:rsidRDefault="000507F6">
    <w:pPr>
      <w:pStyle w:val="Cabealho"/>
    </w:pPr>
    <w:r>
      <w:t>Tel. (75) 3281-3410 | 2pj.pauloafonso@mpba.mp.br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3D79"/>
    <w:multiLevelType w:val="multilevel"/>
    <w:tmpl w:val="23EA2294"/>
    <w:lvl w:ilvl="0">
      <w:start w:val="1"/>
      <w:numFmt w:val="decimal"/>
      <w:suff w:val="space"/>
      <w:lvlText w:val="%1."/>
      <w:lvlJc w:val="left"/>
      <w:pPr>
        <w:ind w:left="113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363168"/>
    <w:multiLevelType w:val="multilevel"/>
    <w:tmpl w:val="2B748E8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7C4447"/>
    <w:multiLevelType w:val="multilevel"/>
    <w:tmpl w:val="57F01414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643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BF0F"/>
    <w:rsid w:val="000507F6"/>
    <w:rsid w:val="0007026B"/>
    <w:rsid w:val="000A67E7"/>
    <w:rsid w:val="002743E1"/>
    <w:rsid w:val="00364B51"/>
    <w:rsid w:val="003B4AD2"/>
    <w:rsid w:val="00414FED"/>
    <w:rsid w:val="0042BF0F"/>
    <w:rsid w:val="005028D2"/>
    <w:rsid w:val="00687A47"/>
    <w:rsid w:val="007C735A"/>
    <w:rsid w:val="008A0221"/>
    <w:rsid w:val="00970F77"/>
    <w:rsid w:val="00AA7F77"/>
    <w:rsid w:val="00AE3B2F"/>
    <w:rsid w:val="00CF7DFF"/>
    <w:rsid w:val="00D40C00"/>
    <w:rsid w:val="00E3400E"/>
    <w:rsid w:val="00EC6501"/>
    <w:rsid w:val="00F46C38"/>
    <w:rsid w:val="00FF7814"/>
    <w:rsid w:val="01DE8F70"/>
    <w:rsid w:val="03763C84"/>
    <w:rsid w:val="03B15AA5"/>
    <w:rsid w:val="0AF62E47"/>
    <w:rsid w:val="0B5A84FB"/>
    <w:rsid w:val="0C1D5FB3"/>
    <w:rsid w:val="0D006AF4"/>
    <w:rsid w:val="0D246053"/>
    <w:rsid w:val="0E2FA3B9"/>
    <w:rsid w:val="0ED95911"/>
    <w:rsid w:val="0F549BCE"/>
    <w:rsid w:val="0F6EE865"/>
    <w:rsid w:val="10F06C2F"/>
    <w:rsid w:val="1304BCC6"/>
    <w:rsid w:val="1441F4E1"/>
    <w:rsid w:val="14A7D7A2"/>
    <w:rsid w:val="17ED407F"/>
    <w:rsid w:val="19BB188F"/>
    <w:rsid w:val="1E8B376C"/>
    <w:rsid w:val="1E98D21B"/>
    <w:rsid w:val="2128CA16"/>
    <w:rsid w:val="21FC9C1D"/>
    <w:rsid w:val="23B1B327"/>
    <w:rsid w:val="25C41ABB"/>
    <w:rsid w:val="294F0930"/>
    <w:rsid w:val="2A527363"/>
    <w:rsid w:val="2A61832B"/>
    <w:rsid w:val="2AC5A81A"/>
    <w:rsid w:val="2E223738"/>
    <w:rsid w:val="2E39DC48"/>
    <w:rsid w:val="34EDB014"/>
    <w:rsid w:val="35F8D1FF"/>
    <w:rsid w:val="3756547B"/>
    <w:rsid w:val="37B9A863"/>
    <w:rsid w:val="38449D54"/>
    <w:rsid w:val="3885F1E7"/>
    <w:rsid w:val="3A1B1C3B"/>
    <w:rsid w:val="3B2ADB68"/>
    <w:rsid w:val="3B87017B"/>
    <w:rsid w:val="4180F48F"/>
    <w:rsid w:val="41B7B88E"/>
    <w:rsid w:val="435388EF"/>
    <w:rsid w:val="447F030E"/>
    <w:rsid w:val="44829CD4"/>
    <w:rsid w:val="44C72F1C"/>
    <w:rsid w:val="45AC5844"/>
    <w:rsid w:val="4BCDDAAF"/>
    <w:rsid w:val="4D82B1F2"/>
    <w:rsid w:val="4DA4896A"/>
    <w:rsid w:val="4DE49A7C"/>
    <w:rsid w:val="4FC1B5B5"/>
    <w:rsid w:val="5024DA25"/>
    <w:rsid w:val="5271B2EF"/>
    <w:rsid w:val="53021B3C"/>
    <w:rsid w:val="53CD8D81"/>
    <w:rsid w:val="56942267"/>
    <w:rsid w:val="581A7209"/>
    <w:rsid w:val="58C08A8D"/>
    <w:rsid w:val="5917B872"/>
    <w:rsid w:val="59DFDEA9"/>
    <w:rsid w:val="5BDB7779"/>
    <w:rsid w:val="5E43F6A4"/>
    <w:rsid w:val="5EDE5510"/>
    <w:rsid w:val="605F449D"/>
    <w:rsid w:val="60E2FB13"/>
    <w:rsid w:val="627ECB74"/>
    <w:rsid w:val="62AB34D2"/>
    <w:rsid w:val="63AE68E0"/>
    <w:rsid w:val="642B94A0"/>
    <w:rsid w:val="65B66C36"/>
    <w:rsid w:val="664F0889"/>
    <w:rsid w:val="6807277A"/>
    <w:rsid w:val="6DA9F79D"/>
    <w:rsid w:val="6DD276E6"/>
    <w:rsid w:val="6F1FF0B6"/>
    <w:rsid w:val="6F87EE1E"/>
    <w:rsid w:val="6F91A560"/>
    <w:rsid w:val="6FE9EEAB"/>
    <w:rsid w:val="72A5E809"/>
    <w:rsid w:val="72B212AF"/>
    <w:rsid w:val="736F89D4"/>
    <w:rsid w:val="744DE310"/>
    <w:rsid w:val="7779592C"/>
    <w:rsid w:val="79E228AB"/>
    <w:rsid w:val="7A7767AB"/>
    <w:rsid w:val="7A8E71EF"/>
    <w:rsid w:val="7ADA8C1B"/>
    <w:rsid w:val="7AE4D686"/>
    <w:rsid w:val="7EEB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322E0"/>
  <w15:docId w15:val="{BD58CA76-41B5-4E2C-A77C-178A5348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spacing w:before="340" w:after="170"/>
      <w:outlineLvl w:val="0"/>
    </w:pPr>
    <w:rPr>
      <w:rFonts w:ascii="Arial Black" w:hAnsi="Arial Black"/>
      <w:bCs/>
      <w:sz w:val="24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b/>
      <w:color w:val="000000"/>
      <w:u w:val="none"/>
    </w:rPr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NumberingSymbols">
    <w:name w:val="Numbering Symbols"/>
    <w:qFormat/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70"/>
      <w:ind w:firstLine="1134"/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tulo">
    <w:name w:val="Title"/>
    <w:basedOn w:val="Normal"/>
    <w:next w:val="Corpodetexto"/>
    <w:uiPriority w:val="10"/>
    <w:qFormat/>
    <w:pPr>
      <w:spacing w:after="283"/>
      <w:jc w:val="center"/>
    </w:pPr>
    <w:rPr>
      <w:rFonts w:ascii="Arial Black" w:hAnsi="Arial Black"/>
      <w:b/>
      <w:bCs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ecuodecorpodetexto">
    <w:name w:val="Body Text Indent"/>
    <w:basedOn w:val="Corpodetexto"/>
    <w:qFormat/>
    <w:pPr>
      <w:ind w:firstLine="283"/>
    </w:pPr>
  </w:style>
  <w:style w:type="paragraph" w:customStyle="1" w:styleId="HangingIndent">
    <w:name w:val="Hanging Indent"/>
    <w:basedOn w:val="Corpodetexto"/>
    <w:qFormat/>
    <w:pPr>
      <w:tabs>
        <w:tab w:val="left" w:pos="567"/>
      </w:tabs>
      <w:ind w:left="567" w:hanging="283"/>
    </w:pPr>
  </w:style>
  <w:style w:type="paragraph" w:styleId="Textodecomentrio">
    <w:name w:val="annotation text"/>
    <w:basedOn w:val="Corpodetexto"/>
    <w:qFormat/>
    <w:pPr>
      <w:ind w:left="2268" w:firstLine="0"/>
    </w:pPr>
  </w:style>
  <w:style w:type="paragraph" w:customStyle="1" w:styleId="Citaes">
    <w:name w:val="Citações"/>
    <w:basedOn w:val="Normal"/>
    <w:qFormat/>
    <w:pPr>
      <w:ind w:left="2268"/>
      <w:jc w:val="both"/>
    </w:pPr>
    <w:rPr>
      <w:sz w:val="22"/>
    </w:rPr>
  </w:style>
  <w:style w:type="paragraph" w:styleId="Assinatura">
    <w:name w:val="Signature"/>
    <w:basedOn w:val="Normal"/>
    <w:pPr>
      <w:suppressLineNumbers/>
      <w:jc w:val="center"/>
    </w:pPr>
  </w:style>
  <w:style w:type="paragraph" w:styleId="Destinatrio">
    <w:name w:val="envelope address"/>
    <w:basedOn w:val="Normal"/>
    <w:pPr>
      <w:suppressLineNumbers/>
      <w:jc w:val="both"/>
    </w:pPr>
  </w:style>
  <w:style w:type="paragraph" w:styleId="Remetente">
    <w:name w:val="envelope return"/>
    <w:basedOn w:val="Normal"/>
    <w:pPr>
      <w:suppressLineNumbers/>
      <w:spacing w:after="60"/>
    </w:pPr>
  </w:style>
  <w:style w:type="paragraph" w:styleId="Saudao">
    <w:name w:val="Salutation"/>
    <w:basedOn w:val="Normal"/>
    <w:pPr>
      <w:suppressLineNumbers/>
      <w:spacing w:before="283" w:after="283"/>
      <w:jc w:val="center"/>
    </w:pPr>
    <w:rPr>
      <w:rFonts w:ascii="Arial Black" w:hAnsi="Arial Black"/>
      <w:color w:val="000000"/>
    </w:rPr>
  </w:style>
  <w:style w:type="paragraph" w:styleId="Cabealho">
    <w:name w:val="header"/>
    <w:basedOn w:val="Normal"/>
    <w:pPr>
      <w:suppressLineNumbers/>
      <w:tabs>
        <w:tab w:val="center" w:pos="4535"/>
        <w:tab w:val="right" w:pos="9071"/>
      </w:tabs>
      <w:ind w:right="-283"/>
      <w:jc w:val="right"/>
    </w:pPr>
    <w:rPr>
      <w:rFonts w:ascii="Arial Black" w:hAnsi="Arial Black"/>
      <w:sz w:val="18"/>
    </w:rPr>
  </w:style>
  <w:style w:type="paragraph" w:styleId="Rodap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ommarcadores3">
    <w:name w:val="List Bullet 3"/>
    <w:basedOn w:val="Lista"/>
    <w:qFormat/>
    <w:pPr>
      <w:spacing w:after="120"/>
      <w:ind w:left="360" w:hanging="360"/>
    </w:pPr>
  </w:style>
  <w:style w:type="paragraph" w:styleId="Commarcadores4">
    <w:name w:val="List Bullet 4"/>
    <w:basedOn w:val="Lista"/>
    <w:qFormat/>
    <w:pPr>
      <w:spacing w:after="0"/>
      <w:ind w:left="1134" w:firstLine="0"/>
    </w:pPr>
  </w:style>
  <w:style w:type="paragraph" w:customStyle="1" w:styleId="Continuaodanumerao1">
    <w:name w:val="Continuação da numeração 1"/>
    <w:basedOn w:val="Lista"/>
    <w:qFormat/>
    <w:pPr>
      <w:spacing w:after="120"/>
      <w:ind w:left="360" w:firstLine="0"/>
    </w:pPr>
  </w:style>
  <w:style w:type="paragraph" w:styleId="Numerada3">
    <w:name w:val="List Number 3"/>
    <w:basedOn w:val="Lista"/>
    <w:qFormat/>
    <w:pPr>
      <w:spacing w:after="120"/>
      <w:ind w:left="1080" w:hanging="360"/>
    </w:pPr>
  </w:style>
  <w:style w:type="paragraph" w:customStyle="1" w:styleId="Continuaodanumerao3">
    <w:name w:val="Continuação da numeração 3"/>
    <w:basedOn w:val="Lista"/>
    <w:qFormat/>
    <w:pPr>
      <w:spacing w:after="120"/>
      <w:ind w:left="1080" w:firstLine="0"/>
    </w:pPr>
  </w:style>
  <w:style w:type="character" w:styleId="Hyperlink">
    <w:name w:val="Hyperlink"/>
    <w:basedOn w:val="Fontepargpadro"/>
    <w:uiPriority w:val="99"/>
    <w:unhideWhenUsed/>
    <w:rsid w:val="008A0221"/>
    <w:rPr>
      <w:color w:val="000000" w:themeColor="text1"/>
      <w:u w:val="none"/>
    </w:rPr>
  </w:style>
  <w:style w:type="character" w:styleId="MenoPendente">
    <w:name w:val="Unresolved Mention"/>
    <w:basedOn w:val="Fontepargpadro"/>
    <w:uiPriority w:val="99"/>
    <w:semiHidden/>
    <w:unhideWhenUsed/>
    <w:rsid w:val="008A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80BD84D720914298076EEB23037F45" ma:contentTypeVersion="9" ma:contentTypeDescription="Crie um novo documento." ma:contentTypeScope="" ma:versionID="07d623dd2330cb002bbbdaabd1bd9af3">
  <xsd:schema xmlns:xsd="http://www.w3.org/2001/XMLSchema" xmlns:xs="http://www.w3.org/2001/XMLSchema" xmlns:p="http://schemas.microsoft.com/office/2006/metadata/properties" xmlns:ns2="7952723a-2a13-43c2-8c45-a94a7fa2e899" targetNamespace="http://schemas.microsoft.com/office/2006/metadata/properties" ma:root="true" ma:fieldsID="9ef36655e8165257c009d459ed0621b8" ns2:_="">
    <xsd:import namespace="7952723a-2a13-43c2-8c45-a94a7fa2e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2723a-2a13-43c2-8c45-a94a7fa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34A58-94C5-4C59-AAE4-F2614E52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2723a-2a13-43c2-8c45-a94a7fa2e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3D309-D600-4AEC-8F82-07DD8425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9DC05-7BA2-47EA-A390-B7F478731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2261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Moacir Silva do Nascimento Junior</cp:lastModifiedBy>
  <cp:revision>130</cp:revision>
  <dcterms:created xsi:type="dcterms:W3CDTF">2020-05-31T19:31:00Z</dcterms:created>
  <dcterms:modified xsi:type="dcterms:W3CDTF">2022-03-21T21:54:00Z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0x0101006F80BD84D720914298076EEB23037F45</vt:lpwstr>
  </property>
  <property fmtid="{D5CDD505-2E9C-101B-9397-08002B2CF9AE}" pid="4" name="LinksUpToDate">
    <vt:bool>false</vt:bool>
  </property>
</Properties>
</file>