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PARTIDO: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76" w:before="20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76" w:before="20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76" w:before="20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Tratam os autos de prestação de contas de campanha do Partido ________________ nas eleições gerais de 2020. 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O relatório de diligências apontou irregularidades na prestação de contas e o representante partidário, mesmo depois de notificado, não conseguiu reunir esclarecimentos e documentos suficientes ao saneamento.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No relatório final, o Analista de Contas do Cartório Eleitoral informa a persistência das seguintes irregularidades: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•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color w:val="C00000"/>
          <w:sz w:val="24"/>
          <w:szCs w:val="24"/>
        </w:rPr>
        <w:t>[detalhar irregularidades]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vista dos autos, o Ministério Público Eleitoral passa a oferecer seu parecer final.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Na linha do que consta no relatório final do Cartório Eleitoral </w:t>
      </w:r>
      <w:r>
        <w:rPr>
          <w:rFonts w:ascii="Cambria" w:hAnsi="Cambria"/>
          <w:color w:val="C00000"/>
          <w:sz w:val="24"/>
          <w:szCs w:val="24"/>
        </w:rPr>
        <w:t>(ou da unidade técnica responsável pelo exame das contas)</w:t>
      </w:r>
      <w:r>
        <w:rPr>
          <w:rFonts w:ascii="Cambria" w:hAnsi="Cambria"/>
          <w:sz w:val="24"/>
          <w:szCs w:val="24"/>
        </w:rPr>
        <w:t>, as contas do partido merecem a desaprovação.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As irregularidades apontadas pela unidade técnica responsável pelo exame das contas são, inequivocamente, suficientes para a rejeição das contas, por representarem vícios graves e insanáveis, que contrariam dispositivos centrais da Lei n.º 9.504/97, referentes à movimentação financeira da campanha e à correspondente prestação de contas de campanha, bem como da Resolução TSE n.º 23.607/2019.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Por outro lado, como já mencionado, tais irregularidades violam a transparência e a lisura da prestação de contas e dificultam o efetivo controle, por parte da Justiça Eleitoral, sobre a licitude da movimentação dos recursos de campanha, além de denotar possíveis desvios na administração financeira da campanha e a prática do famigerado “caixa 2”.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Enfim, há fortes e insuperáveis indícios de captação de recursos de fontes vedadas e/ou aplicação desses recursos em despesas ilícitas, suficientes a ensejar a desaprovação das contas prestadas.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Em decorrência disso, as omissões e falhas da prestação de contas sob exame não asseguram que a campanha política tenha sido desenvolvida de forma límpida, com a garantia do equilíbrio da concorrência, sendo ilegítimo eventual mandato conquistado, como sustenta José Jairo Gomes (Direito Eleitoral, 8ª edição revista atualizada e ampliada. Editora Atlas: São Paulo, 2012, p. 307/308): </w:t>
      </w:r>
    </w:p>
    <w:p>
      <w:pPr>
        <w:pStyle w:val="Normal1"/>
        <w:spacing w:lineRule="auto" w:line="276" w:before="200" w:after="0"/>
        <w:ind w:left="2190" w:firstLine="3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Saliente-se que a omissão – total ou parcial – de dados na prestação de contas denota desinteresse do candidato em submeter-se ao controle jurídico-contábil, em revelar a origem e o destino exatos dados aos valores arrecadados e empregados na campanha. A falta de transparência faz brotar a presunção de que a campanha se desenvolveu por caminhos escusos, inconfessáveis, incompatíveis com os princípios que informam o Estado Democrático de Direito; induz a crença de que os autos de prestação de contas não passam de peça ficcional, longe, pois, de espelhar a realidade.</w:t>
      </w:r>
    </w:p>
    <w:p>
      <w:pPr>
        <w:pStyle w:val="Normal1"/>
        <w:spacing w:lineRule="auto" w:line="276" w:before="200" w:after="0"/>
        <w:ind w:left="2220" w:firstLine="1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bem jurídico protegido é a lisura da campanha eleitoral. ‘Arbor ex fructu cognoscitur’, pelo fruto se conhece a árvore. Se a campanha é alimentada com recursos de fontes proibidas ou obtidos de modo ilícito, ou ainda, realiza gastos não tolerados, ela mesma acaba por contaminar-se, tornando-se ilícita. Da campanha ilícita jamais poderá nascer mandato legítimo, pois árvore malsã não produz senão frutos doentios. 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Em face do exposto, manifesta-se o Ministério Público Eleitoral pela 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DESAPROVAÇÃO </w:t>
      </w:r>
      <w:r>
        <w:rPr>
          <w:rFonts w:cs="Arial" w:ascii="Cambria" w:hAnsi="Cambria"/>
          <w:color w:val="000000"/>
          <w:sz w:val="24"/>
          <w:szCs w:val="24"/>
        </w:rPr>
        <w:t>das contas de campanha sob exame, nos termos do artigo 74, inciso III, da Resolução nº 23.607/2019 do Tribunal Superior Eleitoral, com consequente perda do direito ao recebimento da quota do Fundo Partidário no ano vindouro, em conformidade com o disposto no § 5.º do mesmo dispositivo.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531</Words>
  <Characters>3044</Characters>
  <CharactersWithSpaces>3560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2023-06-11T09:40:49Z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