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 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>O MINISTÉRIO PÚBLICO ELEITORAL</w:t>
      </w:r>
      <w:r>
        <w:rPr>
          <w:rFonts w:cs="Cambria" w:ascii="Cambria" w:hAnsi="Cambria"/>
          <w:sz w:val="24"/>
          <w:szCs w:val="24"/>
        </w:rPr>
        <w:t xml:space="preserve">, por seu órgão infra-assinado, vem, perante Vossa Excelência, com fundamento no art. 41-A da Lei n.º 9.504/97 e art. 89 da Resolução TSE n.º 23.457/15, ajuizar a presente </w:t>
      </w:r>
      <w:r>
        <w:rPr>
          <w:rFonts w:cs="Cambria" w:ascii="Cambria" w:hAnsi="Cambria"/>
          <w:b/>
          <w:shadow/>
          <w:sz w:val="24"/>
          <w:szCs w:val="24"/>
          <w:u w:val="single"/>
        </w:rPr>
        <w:t>REPRESENTAÇÃO ESPECÍFICA</w:t>
      </w:r>
      <w:r>
        <w:rPr>
          <w:rFonts w:cs="Cambria" w:ascii="Cambria" w:hAnsi="Cambria"/>
          <w:sz w:val="24"/>
          <w:szCs w:val="24"/>
        </w:rPr>
        <w:t xml:space="preserve">, adotando-se o rito previsto no artigo 22 da Lei Complementar n.º 64/90, nos termos dos referidos dispositivos de lei e de resolução, em face de </w:t>
      </w:r>
      <w:r>
        <w:rPr>
          <w:rFonts w:cs="Cambria" w:ascii="Cambria" w:hAnsi="Cambria"/>
          <w:b/>
          <w:sz w:val="24"/>
          <w:szCs w:val="24"/>
        </w:rPr>
        <w:t>--------</w:t>
      </w:r>
      <w:r>
        <w:rPr>
          <w:rFonts w:cs="Cambria" w:ascii="Cambria" w:hAnsi="Cambria"/>
          <w:sz w:val="24"/>
          <w:szCs w:val="24"/>
        </w:rPr>
        <w:t xml:space="preserve">, candidato ao cargo de </w:t>
      </w:r>
      <w:r>
        <w:rPr>
          <w:rFonts w:cs="Cambria" w:ascii="Cambria" w:hAnsi="Cambria"/>
          <w:b/>
          <w:sz w:val="24"/>
          <w:szCs w:val="24"/>
        </w:rPr>
        <w:t>---------</w:t>
      </w:r>
      <w:r>
        <w:rPr>
          <w:rFonts w:cs="Cambria" w:ascii="Cambria" w:hAnsi="Cambria"/>
          <w:sz w:val="24"/>
          <w:szCs w:val="24"/>
        </w:rPr>
        <w:t xml:space="preserve">, com endereço à rua </w:t>
      </w:r>
      <w:r>
        <w:rPr>
          <w:rFonts w:cs="Cambria" w:ascii="Cambria" w:hAnsi="Cambria"/>
          <w:b/>
          <w:sz w:val="24"/>
          <w:szCs w:val="24"/>
        </w:rPr>
        <w:t>--------</w:t>
      </w:r>
      <w:r>
        <w:rPr>
          <w:rFonts w:cs="Cambria" w:ascii="Cambria" w:hAnsi="Cambria"/>
          <w:sz w:val="24"/>
          <w:szCs w:val="24"/>
        </w:rPr>
        <w:t xml:space="preserve">, pelas razões de fato e de direito a seguir expostas. </w:t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tLeast" w:line="360" w:before="120" w:after="0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1. DOS FATOS</w:t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57"/>
        <w:jc w:val="both"/>
        <w:rPr/>
      </w:pPr>
      <w:r>
        <w:rPr>
          <w:rFonts w:cs="Cambria" w:ascii="Cambria" w:hAnsi="Cambria"/>
          <w:sz w:val="24"/>
          <w:szCs w:val="24"/>
        </w:rPr>
        <w:t xml:space="preserve">Consta dos autos do incluso expediente que o ora representado, candidato ao cargo de </w:t>
      </w:r>
      <w:r>
        <w:rPr>
          <w:rFonts w:cs="Cambria" w:ascii="Cambria" w:hAnsi="Cambria"/>
          <w:b/>
          <w:sz w:val="24"/>
          <w:szCs w:val="24"/>
        </w:rPr>
        <w:t>-------</w:t>
      </w:r>
      <w:r>
        <w:rPr>
          <w:rFonts w:cs="Cambria" w:ascii="Cambria" w:hAnsi="Cambria"/>
          <w:sz w:val="24"/>
          <w:szCs w:val="24"/>
        </w:rPr>
        <w:t xml:space="preserve"> nas eleições de 2024, fez campanha eleitoral com distribuição gratuita de churrasco e bebidas a eleitores, acompanhada de solicitação de votos, realizada no dia</w:t>
      </w:r>
      <w:r>
        <w:rPr>
          <w:rFonts w:cs="Cambria" w:ascii="Cambria" w:hAnsi="Cambria"/>
          <w:b/>
          <w:sz w:val="24"/>
          <w:szCs w:val="24"/>
        </w:rPr>
        <w:t xml:space="preserve"> ----</w:t>
      </w:r>
      <w:r>
        <w:rPr>
          <w:rFonts w:cs="Cambria" w:ascii="Cambria" w:hAnsi="Cambria"/>
          <w:sz w:val="24"/>
          <w:szCs w:val="24"/>
        </w:rPr>
        <w:t xml:space="preserve">, entre as XXh e XXh, no espaço de eventos denominado </w:t>
      </w:r>
      <w:r>
        <w:rPr>
          <w:rFonts w:cs="Cambria" w:ascii="Cambria" w:hAnsi="Cambria"/>
          <w:b/>
          <w:sz w:val="24"/>
          <w:szCs w:val="24"/>
        </w:rPr>
        <w:t>--------</w:t>
      </w:r>
      <w:r>
        <w:rPr>
          <w:rFonts w:cs="Cambria" w:ascii="Cambria" w:hAnsi="Cambria"/>
          <w:sz w:val="24"/>
          <w:szCs w:val="24"/>
        </w:rPr>
        <w:t>, situado à Rua ______________.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57"/>
        <w:jc w:val="both"/>
        <w:rPr/>
      </w:pPr>
      <w:r>
        <w:rPr>
          <w:rFonts w:cs="Cambria" w:ascii="Cambria" w:hAnsi="Cambria"/>
          <w:sz w:val="24"/>
          <w:szCs w:val="24"/>
        </w:rPr>
        <w:t xml:space="preserve">Em reportagem publicada no ________________, edição de </w:t>
      </w:r>
      <w:r>
        <w:rPr>
          <w:rFonts w:cs="Cambria" w:ascii="Cambria" w:hAnsi="Cambria"/>
          <w:b/>
          <w:sz w:val="24"/>
          <w:szCs w:val="24"/>
        </w:rPr>
        <w:t>----</w:t>
      </w:r>
      <w:r>
        <w:rPr>
          <w:rFonts w:cs="Cambria" w:ascii="Cambria" w:hAnsi="Cambria"/>
          <w:sz w:val="24"/>
          <w:szCs w:val="24"/>
        </w:rPr>
        <w:t xml:space="preserve">,  foi veiculado que o representado realizou ato de propaganda eleitoral </w:t>
      </w:r>
      <w:r>
        <w:rPr>
          <w:rFonts w:cs="Cambria" w:ascii="Cambria" w:hAnsi="Cambria"/>
          <w:i/>
          <w:sz w:val="24"/>
          <w:szCs w:val="24"/>
        </w:rPr>
        <w:t>“com farta distribuição gratuita de churrasco e bebida a eleitores na noite da última quarta-feira”</w:t>
      </w:r>
      <w:r>
        <w:rPr>
          <w:rFonts w:cs="Cambria" w:ascii="Cambria" w:hAnsi="Cambria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57"/>
        <w:jc w:val="both"/>
        <w:rPr>
          <w:rFonts w:ascii="Cambria" w:hAnsi="Cambria" w:cs="Cambria"/>
          <w:sz w:val="24"/>
          <w:szCs w:val="24"/>
          <w:lang w:val="pt-BR" w:eastAsia="pt-BR"/>
        </w:rPr>
      </w:pPr>
      <w:r>
        <w:rPr>
          <w:rFonts w:cs="Cambria" w:ascii="Cambria" w:hAnsi="Cambria"/>
          <w:sz w:val="24"/>
          <w:szCs w:val="24"/>
          <w:lang w:val="pt-BR" w:eastAsia="pt-BR"/>
        </w:rPr>
        <w:t>Colhe-se da referida matéria jornalística, através da qual o Ministério Público Eleitoral tomou conhecimento dos fatos, o seguinte excerto:</w:t>
      </w:r>
    </w:p>
    <w:p>
      <w:pPr>
        <w:pStyle w:val="CorpodeTexto"/>
        <w:spacing w:lineRule="atLeast" w:line="360" w:before="120" w:after="0"/>
        <w:ind w:left="1701" w:right="0" w:hanging="0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  <w:t>(...omissis...)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 jornalista que elaborou a matéria acima transcrita, em depoimento prestado nesta Promotoria Eleitoral, confirmou o inteiro teor da reportagem, destacando:</w:t>
      </w:r>
    </w:p>
    <w:p>
      <w:pPr>
        <w:pStyle w:val="Recuodecorpodetexto21"/>
        <w:spacing w:lineRule="atLeast" w:line="360" w:before="120" w:after="0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  <w:t>(...omissis...)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57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 fls. foram juntadas fotografias e filmagens do evento, as quais, comprovam, estreme de dúvidas, os fatos publicados no referido jornal, mormente o de que o representado esteve presente e, com gestual típico de candidato em campanha, discursou no citado evento, realizado para promover a sua candidatura; que houve ampla veiculação de propaganda eleitoral em favor do ora representado; que houve distribuição de grande quantidade de carne assada, acompanhamentos (arroz, farofa, salada), refrigerante, cerveja; e que, de fato, as pessoas ali presentes aparentam ser de origem humilde.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 mídia que contém a filmagem do evento foi devidamente degravada, acompanhando essa petição cópia da mídia e do auto de degravação (fls. ___/___).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val="pt-BR" w:eastAsia="pt-BR"/>
        </w:rPr>
        <w:t xml:space="preserve">Às fls. constam os depoimentos de </w:t>
      </w:r>
      <w:r>
        <w:rPr>
          <w:rFonts w:cs="Cambria" w:ascii="Cambria" w:hAnsi="Cambria"/>
          <w:b/>
          <w:sz w:val="24"/>
          <w:szCs w:val="24"/>
          <w:lang w:val="pt-BR" w:eastAsia="pt-BR"/>
        </w:rPr>
        <w:t>-------</w:t>
      </w:r>
      <w:r>
        <w:rPr>
          <w:rFonts w:cs="Cambria" w:ascii="Cambria" w:hAnsi="Cambria"/>
          <w:sz w:val="24"/>
          <w:szCs w:val="24"/>
          <w:lang w:val="pt-BR" w:eastAsia="pt-BR"/>
        </w:rPr>
        <w:t xml:space="preserve">, colhidos também para instruir o Inquérito Policial n.º </w:t>
      </w:r>
      <w:r>
        <w:rPr>
          <w:rFonts w:cs="Cambria" w:ascii="Cambria" w:hAnsi="Cambria"/>
          <w:b/>
          <w:sz w:val="24"/>
          <w:szCs w:val="24"/>
          <w:lang w:val="pt-BR" w:eastAsia="pt-BR"/>
        </w:rPr>
        <w:t>-----</w:t>
      </w:r>
      <w:r>
        <w:rPr>
          <w:rFonts w:cs="Cambria" w:ascii="Cambria" w:hAnsi="Cambria"/>
          <w:sz w:val="24"/>
          <w:szCs w:val="24"/>
          <w:lang w:val="pt-BR" w:eastAsia="pt-BR"/>
        </w:rPr>
        <w:t>, em trâmite na Delegacia de Polícia Federal, já instaurado por requisição deste órgão ministerial, para apurar os fatos à luz do  art. 299 do Código Eleitoral.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val="pt-BR" w:eastAsia="pt-BR"/>
        </w:rPr>
        <w:t xml:space="preserve">Os depoimentos prestados por </w:t>
      </w:r>
      <w:r>
        <w:rPr>
          <w:rFonts w:cs="Cambria" w:ascii="Cambria" w:hAnsi="Cambria"/>
          <w:b/>
          <w:sz w:val="24"/>
          <w:szCs w:val="24"/>
          <w:lang w:val="pt-BR" w:eastAsia="pt-BR"/>
        </w:rPr>
        <w:t>--------</w:t>
      </w:r>
      <w:r>
        <w:rPr>
          <w:rFonts w:cs="Cambria" w:ascii="Cambria" w:hAnsi="Cambria"/>
          <w:sz w:val="24"/>
          <w:szCs w:val="24"/>
          <w:lang w:val="pt-BR" w:eastAsia="pt-BR"/>
        </w:rPr>
        <w:t>, confirmam a realização do evento, a distribuição gratuita de comida, bem como reiteram que o representado fez uso da palavra, discursando aos presentes.</w:t>
      </w:r>
    </w:p>
    <w:p>
      <w:pPr>
        <w:pStyle w:val="CorpodeTexto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val="pt-BR" w:eastAsia="pt-BR"/>
        </w:rPr>
        <w:t>O evento foi de grandes proporções, certo que, como observou um dos churrasqueiros à jornalista, ”</w:t>
      </w:r>
      <w:r>
        <w:rPr>
          <w:rFonts w:cs="Cambria" w:ascii="Cambria" w:hAnsi="Cambria"/>
          <w:sz w:val="24"/>
          <w:szCs w:val="24"/>
        </w:rPr>
        <w:t>ali havia carne para 1.000 pessoas</w:t>
      </w:r>
      <w:r>
        <w:rPr>
          <w:rFonts w:cs="Cambria" w:ascii="Cambria" w:hAnsi="Cambria"/>
          <w:sz w:val="24"/>
          <w:szCs w:val="24"/>
          <w:lang w:val="pt-BR" w:eastAsia="pt-BR"/>
        </w:rPr>
        <w:t>”.</w:t>
      </w:r>
    </w:p>
    <w:p>
      <w:pPr>
        <w:pStyle w:val="CorpodeTexto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 xml:space="preserve">Como se vê, os elementos de convicção existentes nos autos não deixam margem a qualquer dúvida de que o candidato representado, em conduta plenamente típica à luz do art. 41-A da Lei das Eleições, ofereceu e deu ao enorme contingente de eleitores presentes, de um modo geral pessoas humildes, que moram nas redondezas e dispõem de poucas possibilidades de lazer, comida e bebida em abundância, agindo com o fim precípuo de obter-lhes os votos, tanto assim que, em seu discurso, realizado imediatamente antes do início da distribuição da comida e da bebida, pediu expressamente que votassem nele. </w:t>
      </w:r>
    </w:p>
    <w:p>
      <w:pPr>
        <w:pStyle w:val="Normal"/>
        <w:spacing w:lineRule="atLeast" w:line="360" w:before="120" w:after="0"/>
        <w:ind w:left="0" w:right="0" w:firstLine="2835"/>
        <w:jc w:val="both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2. DO DIREITO</w:t>
      </w:r>
    </w:p>
    <w:p>
      <w:pPr>
        <w:pStyle w:val="Normal"/>
        <w:spacing w:lineRule="atLeast" w:line="360" w:before="120" w:after="0"/>
        <w:ind w:left="0" w:right="0" w:firstLine="2835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Dispõe o artigo 41-A da Lei n.º 9.504/97, que:</w:t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Recuodecorpodetexto21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 xml:space="preserve">Art. 41-A. Ressalvado o disposto no art. 26 e seus incisos, constitui captação de sufrágio, vedada por esta Lei, o candidato doar, oferecer, prometer, ou entregar, ao eleitor, com o fim de obter-lhe o voto, bem ou vantagem pessoal de qualquer natureza, inclusive emprego ou função pública, desde o registro da candidatura até o dia da eleição, inclusive, sob pena de multa de mil a cinquenta mil Ufir, e cassação do registro ou do diploma, observado o procedimento previsto no art. 22 da Lei Complementar no 64, de 18 de maio de 1990. (Artigo acrescido pela lei 9.840/99). </w:t>
      </w:r>
    </w:p>
    <w:p>
      <w:pPr>
        <w:pStyle w:val="CorpodeTexto"/>
        <w:widowControl/>
        <w:spacing w:lineRule="atLeast" w:line="360" w:before="120" w:after="0"/>
        <w:rPr>
          <w:rFonts w:ascii="Cambria" w:hAnsi="Cambria" w:cs="Cambria"/>
          <w:sz w:val="24"/>
          <w:szCs w:val="24"/>
          <w:lang w:val="pt-BR" w:eastAsia="pt-BR"/>
        </w:rPr>
      </w:pPr>
      <w:r>
        <w:rPr>
          <w:rFonts w:cs="Cambria" w:ascii="Cambria" w:hAnsi="Cambria"/>
          <w:sz w:val="24"/>
          <w:szCs w:val="24"/>
          <w:lang w:val="pt-BR" w:eastAsia="pt-BR"/>
        </w:rPr>
      </w:r>
    </w:p>
    <w:p>
      <w:pPr>
        <w:pStyle w:val="CorpodeTexto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  <w:lang w:val="pt-BR" w:eastAsia="pt-BR"/>
        </w:rPr>
      </w:pPr>
      <w:r>
        <w:rPr>
          <w:rFonts w:cs="Cambria" w:ascii="Cambria" w:hAnsi="Cambria"/>
          <w:sz w:val="24"/>
          <w:szCs w:val="24"/>
          <w:lang w:val="pt-BR" w:eastAsia="pt-BR"/>
        </w:rPr>
        <w:t>A conduta praticada pelo representado subsume-se exatamente ao tipo de ilícito em tela. Pouco importa que o representado venha a alegar eventualmente que não tenha sido o organizador do evento ou o responsável por seu custeio. O fato é que o evento eleitoral em tela, arquitetado com o fim específico de obter os votos dos eleitores, somente ocorreu graças à participação e anuência do representado, em torno do qual girou o evento e que nele discursou, pedindo expressamente votos aos presentes, e isso imediatamente antes que fossem servidas fartamente comidas e bebidas.</w:t>
      </w:r>
    </w:p>
    <w:p>
      <w:pPr>
        <w:pStyle w:val="CorpodeTexto"/>
        <w:widowControl/>
        <w:suppressAutoHyphens w:val="true"/>
        <w:bidi w:val="0"/>
        <w:spacing w:lineRule="atLeast" w:line="360" w:before="120" w:after="0"/>
        <w:ind w:left="0" w:right="0" w:firstLine="1757"/>
        <w:jc w:val="both"/>
        <w:rPr>
          <w:rFonts w:ascii="Cambria" w:hAnsi="Cambria" w:cs="Cambria"/>
          <w:sz w:val="24"/>
          <w:szCs w:val="24"/>
          <w:lang w:val="pt-BR" w:eastAsia="pt-BR"/>
        </w:rPr>
      </w:pPr>
      <w:r>
        <w:rPr>
          <w:rFonts w:cs="Cambria" w:ascii="Cambria" w:hAnsi="Cambria"/>
          <w:sz w:val="24"/>
          <w:szCs w:val="24"/>
          <w:lang w:val="pt-BR" w:eastAsia="pt-BR"/>
        </w:rPr>
        <w:t>Cumpre trazer à colação precedente do E. Tribunal Superior Eleitoral:</w:t>
      </w:r>
    </w:p>
    <w:p>
      <w:pPr>
        <w:pStyle w:val="Citao"/>
        <w:spacing w:lineRule="atLeast" w:line="360" w:before="12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Medida Cautelar. Liminar concedida. Agravo interno. Art. 41-A da Lei n.º 9.504/97. Autoria. Precedente. Provimento do apelo. Cassada a liminar. Indeferida a cautelar.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/>
      </w:pPr>
      <w:r>
        <w:rPr>
          <w:rFonts w:cs="Cambria" w:ascii="Cambria" w:hAnsi="Cambria"/>
          <w:b/>
          <w:sz w:val="22"/>
          <w:szCs w:val="22"/>
        </w:rPr>
        <w:t>Caracteriza-se a captação de sufrágio prevista no art. 41-A da Lei n.º 9.504/97 quando o candidato pratica as condutas abusivas e ilícitas ali capituladas, ou delas participa, ou delas anui explicitamente</w:t>
      </w:r>
      <w:r>
        <w:rPr>
          <w:rFonts w:cs="Cambria" w:ascii="Cambria" w:hAnsi="Cambria"/>
          <w:sz w:val="22"/>
          <w:szCs w:val="22"/>
        </w:rPr>
        <w:t>. (Acórdão n.º 1.229, de 17.10.2002 – Relatora: Ministra Ellen Gracie; Redator designado: Ministro Sálvio de Figueiredo).</w:t>
      </w:r>
    </w:p>
    <w:p>
      <w:pPr>
        <w:pStyle w:val="CorpodeTexto"/>
        <w:spacing w:lineRule="atLeast" w:line="360" w:before="12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orpode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Embora seja certo que para a caracterização da captação ilícita de sufrágios não é indispensável a existência de pedido explícito de votos (Ac. TSE nº 773, de 24/8/2004, Rel. Min. Humberto Gomes de Barros), no caso em tela, como já visto, </w:t>
      </w:r>
      <w:r>
        <w:rPr>
          <w:rFonts w:cs="Cambria" w:ascii="Cambria" w:hAnsi="Cambria"/>
          <w:b/>
          <w:sz w:val="24"/>
          <w:szCs w:val="24"/>
        </w:rPr>
        <w:t xml:space="preserve">houve pedido expresso de votos </w:t>
      </w:r>
      <w:r>
        <w:rPr>
          <w:rFonts w:cs="Cambria" w:ascii="Cambria" w:hAnsi="Cambria"/>
          <w:sz w:val="24"/>
          <w:szCs w:val="24"/>
        </w:rPr>
        <w:t>aos eleitores presentes.</w:t>
      </w:r>
    </w:p>
    <w:p>
      <w:pPr>
        <w:pStyle w:val="Corpode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Para que se tenha por caracterizada a captação ilegal de sufrágio, não é imprescindível a identificação dos eleitores cujos votos foram objeto de ilícita captação. Nesta esteira, o entendimento firmado pelo Colendo Tribunal Superior Eleitoral: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Investigação Judicial. Representação. Art. 41-A da Lei n.º 9.504/97. Multa. Inelegibilidade. Art. 22 da LC n.º 64/90.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b/>
          <w:b/>
          <w:sz w:val="22"/>
          <w:szCs w:val="22"/>
        </w:rPr>
      </w:pPr>
      <w:r>
        <w:rPr>
          <w:rFonts w:cs="Cambria" w:ascii="Cambria" w:hAnsi="Cambria"/>
          <w:b/>
          <w:sz w:val="22"/>
          <w:szCs w:val="22"/>
        </w:rPr>
        <w:t>Não-identificação dos nomes dos eleitores corrompidos. Desnecessidade.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b/>
          <w:b/>
          <w:sz w:val="22"/>
          <w:szCs w:val="22"/>
        </w:rPr>
      </w:pPr>
      <w:r>
        <w:rPr>
          <w:rFonts w:cs="Cambria" w:ascii="Cambria" w:hAnsi="Cambria"/>
          <w:b/>
          <w:sz w:val="22"/>
          <w:szCs w:val="22"/>
        </w:rPr>
        <w:t>Estando comprovada a prática da captação ilegal de votos, não é imprescindível que sejam identificados os eleitores que receberam benesses em troca de voto.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Em representação para apurar captação vedada de sufrágio, não é cabível a decretação de inelegibilidade, mas apenas multa e cassação de registro ou de diploma, como previsto no art. 41-A da Lei n.º 9.504/97. (Acórdão n.º 21.022, de 05.12.2002, Relator: Ministro Fernando Neves).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Medida Cautelar incidental. Pedido de liminar para emprestar efeito suspensivo a recurso especial. Representação com base nos arts. 41-A e 73 da Lei n.º 9.504/97. (...)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Havendo representação por violação aos arts. 41-A e 73 da Lei n.º 9.504/97, o processo poderá obedecer ao rito do art. 22 da LC n.º 64/90. Não ocorrência de prejuízo. Código Eleitoral, art. 219.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/>
      </w:pPr>
      <w:r>
        <w:rPr>
          <w:rFonts w:cs="Cambria" w:ascii="Cambria" w:hAnsi="Cambria"/>
          <w:b/>
          <w:sz w:val="22"/>
          <w:szCs w:val="22"/>
        </w:rPr>
        <w:t xml:space="preserve">Para a configuração da infração ao art. 41-A da Lei n.º 9.504/97, não se faz indispensável a identificação do eleitor. Precedente: Respe n.º 21.022, rel. Min. Fernando Neves. Oferta feita a membros da comunidade. A pluralidade não desfigura a prática da ilicitude. Súmulas n.º 7 do STJ e 279 do STF. Incidência. </w:t>
      </w:r>
      <w:r>
        <w:rPr>
          <w:rFonts w:cs="Cambria" w:ascii="Cambria" w:hAnsi="Cambria"/>
          <w:sz w:val="22"/>
          <w:szCs w:val="22"/>
        </w:rPr>
        <w:t>(...)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Medida cautelar julgada improcedente. (Acórdão n.º 1.252, de 12.12.2002 – Relator: Ministro Luiz Carlos Madeira).</w:t>
      </w:r>
    </w:p>
    <w:p>
      <w:pPr>
        <w:pStyle w:val="CorpodeTexto"/>
        <w:spacing w:lineRule="atLeast" w:line="360" w:before="12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orpode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Patente, pois, a infração por parte do representado ao art. 41-A da Lei 9.504/97.</w:t>
      </w:r>
    </w:p>
    <w:p>
      <w:pPr>
        <w:pStyle w:val="Normal"/>
        <w:spacing w:lineRule="atLeast" w:line="360" w:before="120" w:after="0"/>
        <w:jc w:val="center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</w:r>
    </w:p>
    <w:p>
      <w:pPr>
        <w:pStyle w:val="Normal"/>
        <w:spacing w:lineRule="atLeast" w:line="360" w:before="120" w:after="0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3. DO PEDIDO</w:t>
      </w:r>
    </w:p>
    <w:p>
      <w:pPr>
        <w:pStyle w:val="Normal"/>
        <w:spacing w:lineRule="atLeast" w:line="360" w:before="120" w:after="0"/>
        <w:ind w:left="0" w:right="0" w:firstLine="2835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Pelo exposto, requer-se: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 xml:space="preserve">a) </w:t>
      </w:r>
      <w:r>
        <w:rPr>
          <w:rFonts w:cs="Cambria" w:ascii="Cambria" w:hAnsi="Cambria"/>
          <w:sz w:val="24"/>
          <w:szCs w:val="24"/>
        </w:rPr>
        <w:t>o recebimento e</w:t>
      </w:r>
      <w:r>
        <w:rPr>
          <w:rFonts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 processamento da presente representação, com a adoção do rito estabelecido no art. 22 da Lei Complementar n.º 64/90, nos exatos termos do previsto no art. 41-A da Lei n.º 9.504/97;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>b)</w:t>
      </w:r>
      <w:r>
        <w:rPr>
          <w:rFonts w:cs="Cambria" w:ascii="Cambria" w:hAnsi="Cambria"/>
          <w:sz w:val="24"/>
          <w:szCs w:val="24"/>
        </w:rPr>
        <w:t xml:space="preserve"> a notificação do representado </w:t>
      </w:r>
      <w:r>
        <w:rPr>
          <w:rFonts w:cs="Cambria" w:ascii="Cambria" w:hAnsi="Cambria"/>
          <w:b/>
          <w:sz w:val="24"/>
          <w:szCs w:val="24"/>
        </w:rPr>
        <w:t>----------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 endereço supramencionado,</w:t>
      </w:r>
      <w:r>
        <w:rPr>
          <w:rFonts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 xml:space="preserve">para, querendo, apresentar defesa no prazo de cinco dias, nos termos do art. 22, I, "a", da Lei Complementar n.º 64/90, prosseguindo-se segundo o rito estabelecido nesse artigo; 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>c)</w:t>
      </w:r>
      <w:r>
        <w:rPr>
          <w:rFonts w:cs="Cambria" w:ascii="Cambria" w:hAnsi="Cambria"/>
          <w:sz w:val="24"/>
          <w:szCs w:val="24"/>
        </w:rPr>
        <w:t xml:space="preserve"> seja, ao final, julgada procedente a representação, para que se reconheça a prática de captação ilícita de sufrágios, infligindo-se ao representado </w:t>
      </w:r>
      <w:r>
        <w:rPr>
          <w:rFonts w:cs="Cambria" w:ascii="Cambria" w:hAnsi="Cambria"/>
          <w:b/>
          <w:sz w:val="24"/>
          <w:szCs w:val="24"/>
        </w:rPr>
        <w:t>---------</w:t>
      </w:r>
      <w:r>
        <w:rPr>
          <w:rFonts w:cs="Cambria" w:ascii="Cambria" w:hAnsi="Cambria"/>
          <w:sz w:val="24"/>
          <w:szCs w:val="24"/>
        </w:rPr>
        <w:t xml:space="preserve"> a pena pecuniária correspondente, a ser fixada no máximo legal (cinquenta mil UFIR), em face da especial gravidade dos fatos narrados, bem como a pena de cassação do seu registro ou diploma, nos termos do artigo 41-A da Lei 9.504/97;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 xml:space="preserve">d) </w:t>
      </w:r>
      <w:r>
        <w:rPr>
          <w:rFonts w:cs="Cambria" w:ascii="Cambria" w:hAnsi="Cambria"/>
          <w:sz w:val="24"/>
          <w:szCs w:val="24"/>
        </w:rPr>
        <w:t>seja determinada a extração de cópia integral do presente feito e remessa ao órgão técnico desse MM. Juízo, responsável pela emissão de parecer quando do exame das contas de campanha do representado, para os fins previstos nos arts. 17 e seguintes da Lei 9.504/97.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>e)</w:t>
      </w:r>
      <w:r>
        <w:rPr>
          <w:rFonts w:cs="Cambria" w:ascii="Cambria" w:hAnsi="Cambria"/>
          <w:sz w:val="24"/>
          <w:szCs w:val="24"/>
        </w:rPr>
        <w:t xml:space="preserve"> o encaminhamento de uma via da degravação referente à mídia que acompanha esta petição (áudio ou vídeo) juntamente com a notificação citatória, devendo uma cópia da mídia e da degravação permanecer no processo e uma cópia da mídia ser mantida em cartório, facultando-se às partes e ao Ministério Público, a qualquer tempo, requerer cópia, independentemente de autorização específica.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b w:val="false"/>
          <w:b w:val="false"/>
          <w:bCs w:val="false"/>
          <w:sz w:val="24"/>
          <w:szCs w:val="24"/>
        </w:rPr>
      </w:pPr>
      <w:r>
        <w:rPr>
          <w:rFonts w:cs="Arial" w:ascii="Cambria" w:hAnsi="Cambria"/>
          <w:b w:val="false"/>
          <w:bCs w:val="false"/>
          <w:color w:val="000000"/>
          <w:sz w:val="24"/>
          <w:szCs w:val="24"/>
        </w:rPr>
        <w:t>Protesta e requer, ainda, provar o quanto acima aduzido por todos os meios e formas em direito admitidos, especialmente a juntada de documentos e a oitiva das testemunhas indicadas no rol abaixo: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Cambria" w:ascii="Cambria" w:hAnsi="Cambria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b w:val="false"/>
          <w:b w:val="false"/>
          <w:bCs w:val="false"/>
          <w:sz w:val="24"/>
          <w:szCs w:val="24"/>
        </w:rPr>
      </w:pPr>
      <w:r>
        <w:rPr>
          <w:rFonts w:cs="Arial" w:ascii="Cambria" w:hAnsi="Cambria"/>
          <w:b w:val="false"/>
          <w:bCs w:val="false"/>
          <w:color w:val="000000"/>
          <w:sz w:val="24"/>
          <w:szCs w:val="24"/>
        </w:rPr>
        <w:t>ROL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">
    <w:name w:val="Corpo de Texto"/>
    <w:basedOn w:val="Normal"/>
    <w:qFormat/>
    <w:pPr>
      <w:widowControl w:val="false"/>
      <w:spacing w:lineRule="auto" w:line="360" w:before="0" w:after="120"/>
      <w:ind w:left="0" w:right="0" w:firstLine="2268"/>
      <w:jc w:val="both"/>
    </w:pPr>
    <w:rPr/>
  </w:style>
  <w:style w:type="paragraph" w:styleId="Recuodecorpodetexto21">
    <w:name w:val="Recuo de corpo de texto 21"/>
    <w:basedOn w:val="Normal"/>
    <w:qFormat/>
    <w:pPr>
      <w:ind w:left="1701" w:right="0" w:hanging="0"/>
      <w:jc w:val="both"/>
    </w:pPr>
    <w:rPr>
      <w:sz w:val="22"/>
    </w:rPr>
  </w:style>
  <w:style w:type="paragraph" w:styleId="Citao">
    <w:name w:val="Citação"/>
    <w:basedOn w:val="Normal"/>
    <w:qFormat/>
    <w:pPr>
      <w:spacing w:before="0" w:after="120"/>
      <w:ind w:left="1701" w:right="0" w:hanging="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6</Pages>
  <Words>1415</Words>
  <Characters>7626</Characters>
  <CharactersWithSpaces>8993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2023-06-09T02:34:08Z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