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  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 w:val="false"/>
          <w:bCs w:val="false"/>
          <w:sz w:val="24"/>
          <w:szCs w:val="24"/>
        </w:rPr>
        <w:t xml:space="preserve">O </w:t>
      </w:r>
      <w:r>
        <w:rPr>
          <w:rFonts w:cs="Cambria" w:ascii="Cambria" w:hAnsi="Cambria"/>
          <w:b/>
          <w:sz w:val="24"/>
          <w:szCs w:val="24"/>
        </w:rPr>
        <w:t>MINISTÉRIO PÚBLICO ELEITORAL</w:t>
      </w:r>
      <w:r>
        <w:rPr>
          <w:rFonts w:cs="Cambria" w:ascii="Cambria" w:hAnsi="Cambria"/>
          <w:sz w:val="24"/>
          <w:szCs w:val="24"/>
        </w:rPr>
        <w:t xml:space="preserve">, por seu órgão infra-assinado, vem, perante Vossa Excelência, com fundamento no artigo 73, inciso V, da Lei n.º 9.504/97, ajuizar a presente </w:t>
      </w:r>
      <w:r>
        <w:rPr>
          <w:rFonts w:cs="Cambria" w:ascii="Cambria" w:hAnsi="Cambria"/>
          <w:b/>
          <w:shadow/>
          <w:sz w:val="24"/>
          <w:szCs w:val="24"/>
          <w:u w:val="single"/>
        </w:rPr>
        <w:t xml:space="preserve">REPRESENTAÇÃO ESPECÍFICA </w:t>
      </w:r>
      <w:r>
        <w:rPr>
          <w:rFonts w:cs="Cambria" w:ascii="Cambria" w:hAnsi="Cambria"/>
          <w:sz w:val="24"/>
          <w:szCs w:val="24"/>
        </w:rPr>
        <w:t xml:space="preserve">, adotando-se o rito previsto no artigo 22 da Lei Complementar n.º 64/90, em face de _______________, atual prefeito e candidato a reeleição, com endereço à Rua ___________________, _____, ____________, ____________, ________________, pelas razões de fato e de direito a seguir expostas.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1. DOS FATOS</w:t>
      </w:r>
    </w:p>
    <w:p>
      <w:pPr>
        <w:pStyle w:val="Normal"/>
        <w:spacing w:lineRule="auto" w:line="360"/>
        <w:ind w:left="0" w:right="0" w:firstLine="283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Chegou ao conhecimento da Promotoria de Justiça da __</w:t>
      </w:r>
      <w:r>
        <w:rPr>
          <w:rFonts w:cs="Cambria" w:ascii="Cambria" w:hAnsi="Cambria"/>
          <w:sz w:val="24"/>
          <w:szCs w:val="24"/>
          <w:vertAlign w:val="superscript"/>
        </w:rPr>
        <w:t>a</w:t>
      </w:r>
      <w:r>
        <w:rPr>
          <w:rFonts w:cs="Cambria" w:ascii="Cambria" w:hAnsi="Cambria"/>
          <w:sz w:val="24"/>
          <w:szCs w:val="24"/>
        </w:rPr>
        <w:t xml:space="preserve"> Zona Eleitoral, através de declarações prestadas por vários munícipes, que logo após o encerramento do pleito municipal, ocorrido no dia __ de ______ de 2024, foram promovidas exonerações de diversos servidores lotados principalmente nas Secretarias de Saúde, Educação, e Trabalho e Desenvolvimento Social de Itapipoca/Ce.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De acordo com os relatos dos servidores demitidos </w:t>
      </w:r>
      <w:r>
        <w:rPr>
          <w:rFonts w:cs="Cambria" w:ascii="Cambria" w:hAnsi="Cambria"/>
          <w:b/>
          <w:bCs/>
          <w:sz w:val="24"/>
          <w:szCs w:val="24"/>
        </w:rPr>
        <w:t>(doc. 02)</w:t>
      </w:r>
      <w:r>
        <w:rPr>
          <w:rFonts w:cs="Cambria" w:ascii="Cambria" w:hAnsi="Cambria"/>
          <w:sz w:val="24"/>
          <w:szCs w:val="24"/>
        </w:rPr>
        <w:t xml:space="preserve">, nos dias imediatos ao encerramento das eleições municipais, verificando-se que o representado </w:t>
      </w:r>
      <w:r>
        <w:rPr>
          <w:rFonts w:cs="Cambria" w:ascii="Cambria" w:hAnsi="Cambria"/>
          <w:b/>
          <w:bCs/>
          <w:sz w:val="24"/>
          <w:szCs w:val="24"/>
        </w:rPr>
        <w:t>NÃO</w:t>
      </w:r>
      <w:r>
        <w:rPr>
          <w:rFonts w:cs="Cambria" w:ascii="Cambria" w:hAnsi="Cambria"/>
          <w:sz w:val="24"/>
          <w:szCs w:val="24"/>
        </w:rPr>
        <w:t xml:space="preserve"> logrou ser reeleito, foram realizadas inúmeras exonerações de pessoas contratadas pela prefeitura no início do corrente ano e que somente teriam os contratos encerrados em </w:t>
      </w:r>
      <w:r>
        <w:rPr>
          <w:rFonts w:cs="Cambria" w:ascii="Cambria" w:hAnsi="Cambria"/>
          <w:b/>
          <w:bCs/>
          <w:sz w:val="24"/>
          <w:szCs w:val="24"/>
          <w:u w:val="single"/>
        </w:rPr>
        <w:t>31 de dezembro de 2024</w:t>
      </w:r>
      <w:r>
        <w:rPr>
          <w:rFonts w:cs="Cambria" w:ascii="Cambria" w:hAnsi="Cambria"/>
          <w:sz w:val="24"/>
          <w:szCs w:val="24"/>
          <w:u w:val="single"/>
        </w:rPr>
        <w:t>.</w:t>
      </w:r>
      <w:r>
        <w:rPr>
          <w:rFonts w:cs="Cambria" w:ascii="Cambria" w:hAnsi="Cambria"/>
          <w:sz w:val="24"/>
          <w:szCs w:val="24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Restou relatado ainda que os mesmos não praticaram qualquer ato configurador de </w:t>
      </w:r>
      <w:r>
        <w:rPr>
          <w:rFonts w:cs="Cambria" w:ascii="Cambria" w:hAnsi="Cambria"/>
          <w:i/>
          <w:iCs/>
          <w:sz w:val="24"/>
          <w:szCs w:val="24"/>
        </w:rPr>
        <w:t>“justa causa”</w:t>
      </w:r>
      <w:r>
        <w:rPr>
          <w:rFonts w:cs="Cambria" w:ascii="Cambria" w:hAnsi="Cambria"/>
          <w:sz w:val="24"/>
          <w:szCs w:val="24"/>
        </w:rPr>
        <w:t>, bem como que na maioria dos casos a única justificativa apresentada foi a suposta necessidade de redução de despesas. Além disso, as pessoas ouvidas relataram que não receberam nenhum tipo de documento escrito acerca da motivação que teria levado à prematura rescisão de seus contratos.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Diante de tais fatos, o Ministério Público Eleitoral expediu a </w:t>
      </w:r>
      <w:r>
        <w:rPr>
          <w:rFonts w:cs="Cambria" w:ascii="Cambria" w:hAnsi="Cambria"/>
          <w:b/>
          <w:bCs/>
          <w:sz w:val="24"/>
          <w:szCs w:val="24"/>
        </w:rPr>
        <w:t>Recomendação de nº ____/2024</w:t>
      </w:r>
      <w:r>
        <w:rPr>
          <w:rFonts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(doc. 03)</w:t>
      </w:r>
      <w:r>
        <w:rPr>
          <w:rFonts w:cs="Cambria" w:ascii="Cambria" w:hAnsi="Cambria"/>
          <w:sz w:val="24"/>
          <w:szCs w:val="24"/>
        </w:rPr>
        <w:t xml:space="preserve"> com a finalidade de coibir a prática da mencionada conduta vedada pela legislação eleitoral.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Contudo, ultrapassado o prazo fixado para resolução voluntária do mencionado vício, </w:t>
      </w:r>
      <w:r>
        <w:rPr>
          <w:rFonts w:cs="Cambria" w:ascii="Cambria" w:hAnsi="Cambria"/>
          <w:b/>
          <w:bCs/>
          <w:sz w:val="24"/>
          <w:szCs w:val="24"/>
          <w:u w:val="single"/>
        </w:rPr>
        <w:t>o representado formalizou sua recusa em rever administrativamente os atos de exoneração por meio de “NOTA DE ESCLARECIMENTO”</w:t>
      </w:r>
      <w:r>
        <w:rPr>
          <w:rFonts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(doc. 04)</w:t>
      </w:r>
      <w:r>
        <w:rPr>
          <w:rFonts w:cs="Cambria" w:ascii="Cambria" w:hAnsi="Cambria"/>
          <w:sz w:val="24"/>
          <w:szCs w:val="24"/>
        </w:rPr>
        <w:t>, sob o argumento de impedimentos orçamentários e inerentes à LRF – Lei de Responsabilidade Fiscal.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Por oportuno, observe-se que o representado </w:t>
      </w:r>
      <w:r>
        <w:rPr>
          <w:rFonts w:cs="Cambria" w:ascii="Cambria" w:hAnsi="Cambria"/>
          <w:b/>
          <w:bCs/>
          <w:sz w:val="24"/>
          <w:szCs w:val="24"/>
        </w:rPr>
        <w:t>confirmou ter exonerado/demitido</w:t>
      </w:r>
      <w:r>
        <w:rPr>
          <w:rFonts w:cs="Cambria" w:ascii="Cambria" w:hAnsi="Cambria"/>
          <w:sz w:val="24"/>
          <w:szCs w:val="24"/>
        </w:rPr>
        <w:t xml:space="preserve"> ___</w:t>
      </w:r>
      <w:r>
        <w:rPr>
          <w:rFonts w:cs="Cambria" w:ascii="Cambria" w:hAnsi="Cambria"/>
          <w:b/>
          <w:bCs/>
          <w:sz w:val="24"/>
          <w:szCs w:val="24"/>
        </w:rPr>
        <w:t xml:space="preserve"> (________)</w:t>
      </w:r>
      <w:r>
        <w:rPr>
          <w:rFonts w:cs="Cambria" w:ascii="Cambria" w:hAnsi="Cambria"/>
          <w:sz w:val="24"/>
          <w:szCs w:val="24"/>
        </w:rPr>
        <w:t xml:space="preserve"> pessoas, conforme “Declaração” acostada aos autos </w:t>
      </w:r>
      <w:r>
        <w:rPr>
          <w:rFonts w:cs="Cambria" w:ascii="Cambria" w:hAnsi="Cambria"/>
          <w:b/>
          <w:bCs/>
          <w:sz w:val="24"/>
          <w:szCs w:val="24"/>
        </w:rPr>
        <w:t xml:space="preserve">(doc. 05), ou seja, o equivalente a 16% (dezesseis por cento) </w:t>
      </w:r>
      <w:r>
        <w:rPr>
          <w:rFonts w:cs="Cambria" w:ascii="Cambria" w:hAnsi="Cambria"/>
          <w:sz w:val="24"/>
          <w:szCs w:val="24"/>
        </w:rPr>
        <w:t xml:space="preserve">dos servidores contratados do município. Assim, ressalte-se que </w:t>
      </w:r>
      <w:r>
        <w:rPr>
          <w:rFonts w:cs="Cambria" w:ascii="Cambria" w:hAnsi="Cambria"/>
          <w:b/>
          <w:bCs/>
          <w:sz w:val="24"/>
          <w:szCs w:val="24"/>
        </w:rPr>
        <w:t xml:space="preserve">a matéria fática é </w:t>
      </w:r>
      <w:r>
        <w:rPr>
          <w:rFonts w:cs="Cambria" w:ascii="Cambria" w:hAnsi="Cambria"/>
          <w:b/>
          <w:bCs/>
          <w:caps/>
          <w:sz w:val="24"/>
          <w:szCs w:val="24"/>
        </w:rPr>
        <w:t>incontroversa</w:t>
      </w:r>
      <w:r>
        <w:rPr>
          <w:rFonts w:cs="Cambria" w:ascii="Cambria" w:hAnsi="Cambria"/>
          <w:b/>
          <w:bCs/>
          <w:sz w:val="24"/>
          <w:szCs w:val="24"/>
        </w:rPr>
        <w:t>,</w:t>
      </w:r>
      <w:r>
        <w:rPr>
          <w:rFonts w:cs="Cambria" w:ascii="Cambria" w:hAnsi="Cambria"/>
          <w:sz w:val="24"/>
          <w:szCs w:val="24"/>
        </w:rPr>
        <w:t xml:space="preserve"> ou seja, conforme prova testemunhal, documental e pela confirmação da prática da conduta vedada pelo representado.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Desta feita, no que concerne às alegações no sentido de existir atualmente uma suposta deficiência orçamentária que impossibilita a manutenção dos mencionados servidores, saliente-se de logo</w:t>
      </w:r>
      <w:r>
        <w:rPr>
          <w:rFonts w:cs="Cambria" w:ascii="Cambria" w:hAnsi="Cambria"/>
          <w:b/>
          <w:bCs/>
          <w:sz w:val="24"/>
          <w:szCs w:val="24"/>
        </w:rPr>
        <w:t xml:space="preserve"> que a mesma é completamente inconsistente e desprovida de amparo fático e jurídico conforme será comprovado adiante.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Inicialmente, tendo em vista que todas as contratações realizadas foram formalizadas já durante o ano de 2024, ou seja, quando o representado, na qualidade de gestor municipal, já tinha pleno conhecimento dos limites orçamentários para o período, conforme faz </w:t>
      </w:r>
      <w:r>
        <w:rPr>
          <w:rFonts w:cs="Cambria" w:ascii="Cambria" w:hAnsi="Cambria"/>
          <w:b/>
          <w:bCs/>
          <w:sz w:val="24"/>
          <w:szCs w:val="24"/>
        </w:rPr>
        <w:t>prova matéria veiculada eletronicamente pelo Jornal XXXXX no dia XX/XX/XXXX</w:t>
      </w:r>
      <w:r>
        <w:rPr>
          <w:rFonts w:cs="Cambria" w:ascii="Cambria" w:hAnsi="Cambria"/>
          <w:sz w:val="24"/>
          <w:szCs w:val="24"/>
        </w:rPr>
        <w:t xml:space="preserve"> onde consta a seguinte manchete: </w:t>
      </w:r>
      <w:r>
        <w:rPr>
          <w:rFonts w:cs="Cambria" w:ascii="Cambria" w:hAnsi="Cambria"/>
          <w:b/>
          <w:bCs/>
          <w:sz w:val="24"/>
          <w:szCs w:val="24"/>
        </w:rPr>
        <w:t>“68 PREFEITOS DO CE ESTÃO NA LISTA NEGRA DO TCM”</w:t>
      </w:r>
      <w:r>
        <w:rPr>
          <w:rFonts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(doc. 06)</w:t>
      </w:r>
      <w:r>
        <w:rPr>
          <w:rFonts w:cs="Cambria" w:ascii="Cambria" w:hAnsi="Cambria"/>
          <w:sz w:val="24"/>
          <w:szCs w:val="24"/>
        </w:rPr>
        <w:t xml:space="preserve">, oportunidade em que o município de XXXXXXXXX foi listado por ter ultrapassado o limite máximo com o pagamento de pessoal. Além disso, essa é a </w:t>
      </w:r>
      <w:r>
        <w:rPr>
          <w:rFonts w:cs="Cambria" w:ascii="Cambria" w:hAnsi="Cambria"/>
          <w:b/>
          <w:bCs/>
          <w:sz w:val="24"/>
          <w:szCs w:val="24"/>
        </w:rPr>
        <w:t xml:space="preserve">principal finalidade da norma em aplicação, isto é, vedar que durante o ano eleitoral sejam realizadas contratações com a finalidade de angariar votos.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Em segundo lugar, e não menos importante, por meio de uma simples pesquisa junto ao </w:t>
      </w:r>
      <w:r>
        <w:rPr>
          <w:rFonts w:cs="Cambria" w:ascii="Cambria" w:hAnsi="Cambria"/>
          <w:b/>
          <w:bCs/>
          <w:sz w:val="24"/>
          <w:szCs w:val="24"/>
        </w:rPr>
        <w:t>“Portal da Transparência de XXXXXX”</w:t>
      </w:r>
      <w:r>
        <w:rPr>
          <w:rFonts w:cs="Cambria" w:ascii="Cambria" w:hAnsi="Cambria"/>
          <w:sz w:val="24"/>
          <w:szCs w:val="24"/>
        </w:rPr>
        <w:t xml:space="preserve">, consta-se que somente na </w:t>
      </w:r>
      <w:r>
        <w:rPr>
          <w:rFonts w:cs="Cambria" w:ascii="Cambria" w:hAnsi="Cambria"/>
          <w:b/>
          <w:bCs/>
          <w:sz w:val="24"/>
          <w:szCs w:val="24"/>
        </w:rPr>
        <w:t>Secretaria de Governo e Articulação</w:t>
      </w:r>
      <w:r>
        <w:rPr>
          <w:rFonts w:cs="Cambria" w:ascii="Cambria" w:hAnsi="Cambria"/>
          <w:sz w:val="24"/>
          <w:szCs w:val="24"/>
        </w:rPr>
        <w:t xml:space="preserve"> foram “liquidados e pagos” durante o mês de agosto de 2024 a quantia de aproximadamente </w:t>
      </w:r>
      <w:r>
        <w:rPr>
          <w:rFonts w:cs="Cambria" w:ascii="Cambria" w:hAnsi="Cambria"/>
          <w:b/>
          <w:bCs/>
          <w:sz w:val="24"/>
          <w:szCs w:val="24"/>
        </w:rPr>
        <w:t xml:space="preserve">R$ XXXX </w:t>
      </w:r>
      <w:r>
        <w:rPr>
          <w:rFonts w:cs="Cambria" w:ascii="Cambria" w:hAnsi="Cambria"/>
          <w:sz w:val="24"/>
          <w:szCs w:val="24"/>
        </w:rPr>
        <w:t xml:space="preserve">(XXXX reais) para pessoas detentoras de </w:t>
      </w:r>
      <w:r>
        <w:rPr>
          <w:rFonts w:cs="Cambria" w:ascii="Cambria" w:hAnsi="Cambria"/>
          <w:b/>
          <w:bCs/>
          <w:sz w:val="24"/>
          <w:szCs w:val="24"/>
        </w:rPr>
        <w:t>cargos em comissão</w:t>
      </w:r>
      <w:r>
        <w:rPr>
          <w:rFonts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(doc. 07)</w:t>
      </w:r>
      <w:r>
        <w:rPr>
          <w:rFonts w:cs="Cambria" w:ascii="Cambria" w:hAnsi="Cambria"/>
          <w:sz w:val="24"/>
          <w:szCs w:val="24"/>
        </w:rPr>
        <w:t xml:space="preserve">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No entanto, </w:t>
      </w:r>
      <w:r>
        <w:rPr>
          <w:rFonts w:cs="Cambria" w:ascii="Cambria" w:hAnsi="Cambria"/>
          <w:b/>
          <w:bCs/>
          <w:sz w:val="24"/>
          <w:szCs w:val="24"/>
        </w:rPr>
        <w:t>a legislação eleitoral permite</w:t>
      </w:r>
      <w:r>
        <w:rPr>
          <w:rFonts w:cs="Cambria" w:ascii="Cambria" w:hAnsi="Cambria"/>
          <w:sz w:val="24"/>
          <w:szCs w:val="24"/>
        </w:rPr>
        <w:t xml:space="preserve"> (art. 73, inciso V, alínea a, da Lei nº 9.504/97) a</w:t>
      </w:r>
      <w:r>
        <w:rPr>
          <w:rFonts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exoneração de pessoas detentoras cargos em comissão</w:t>
      </w:r>
      <w:r>
        <w:rPr>
          <w:rFonts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ou mesmo a dispensa</w:t>
      </w:r>
      <w:r>
        <w:rPr>
          <w:rFonts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de funções de confiança.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Com efeito, a exoneração de pessoal contratado temporariamente para exercer funções de suma importância social,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tais como médicos, dentistas e enfermeiros</w:t>
      </w:r>
      <w:r>
        <w:rPr>
          <w:rFonts w:cs="Cambria" w:ascii="Cambria" w:hAnsi="Cambria"/>
          <w:color w:val="000000"/>
          <w:sz w:val="24"/>
          <w:szCs w:val="24"/>
        </w:rPr>
        <w:t xml:space="preserve">, </w:t>
      </w:r>
      <w:r>
        <w:rPr>
          <w:rFonts w:cs="Cambria" w:ascii="Cambria" w:hAnsi="Cambria"/>
          <w:b/>
          <w:bCs/>
          <w:color w:val="000000"/>
          <w:sz w:val="24"/>
          <w:szCs w:val="24"/>
          <w:u w:val="single"/>
        </w:rPr>
        <w:t>antes de promover a exoneração ou uma radical diminuição dos servidores exercentes de cargos em comissão</w:t>
      </w:r>
      <w:r>
        <w:rPr>
          <w:rFonts w:cs="Cambria" w:ascii="Cambria" w:hAnsi="Cambria"/>
          <w:color w:val="000000"/>
          <w:sz w:val="24"/>
          <w:szCs w:val="24"/>
        </w:rPr>
        <w:t xml:space="preserve"> (ou função de confiança),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desafia a lógica administrativa e contábil, afrontando de forma acintosa a legislação de regência.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Diante das provas acostadas a esta representação, de natureza testemunhal e documental, tem-se que </w:t>
      </w:r>
      <w:r>
        <w:rPr>
          <w:rFonts w:cs="Cambria" w:ascii="Cambria" w:hAnsi="Cambria"/>
          <w:b/>
          <w:bCs/>
          <w:sz w:val="24"/>
          <w:szCs w:val="24"/>
        </w:rPr>
        <w:t>o representado incorreu na prática das condutas vedadas tipificadas no artigo 73, inciso V, da Lei n.º 9.504/97,</w:t>
      </w:r>
      <w:r>
        <w:rPr>
          <w:rFonts w:cs="Cambria" w:ascii="Cambria" w:hAnsi="Cambria"/>
          <w:sz w:val="24"/>
          <w:szCs w:val="24"/>
        </w:rPr>
        <w:t xml:space="preserve"> porquanto, exonerou, sem justa causa, </w:t>
      </w:r>
      <w:r>
        <w:rPr>
          <w:rFonts w:cs="Cambria" w:ascii="Cambria" w:hAnsi="Cambria"/>
          <w:b/>
          <w:bCs/>
          <w:sz w:val="24"/>
          <w:szCs w:val="24"/>
        </w:rPr>
        <w:t>341 (trezentos e quarenta e um)</w:t>
      </w:r>
      <w:r>
        <w:rPr>
          <w:rFonts w:cs="Cambria" w:ascii="Cambria" w:hAnsi="Cambria"/>
          <w:sz w:val="24"/>
          <w:szCs w:val="24"/>
        </w:rPr>
        <w:t xml:space="preserve"> servidores com contratos de trabalho ainda vigentes.</w:t>
      </w:r>
    </w:p>
    <w:p>
      <w:pPr>
        <w:pStyle w:val="Normal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2. DO DIREITO</w:t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2.1. Da competência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644"/>
        <w:jc w:val="both"/>
        <w:rPr/>
      </w:pPr>
      <w:r>
        <w:rPr>
          <w:rFonts w:cs="Cambria" w:ascii="Cambria" w:hAnsi="Cambria"/>
          <w:sz w:val="24"/>
          <w:szCs w:val="24"/>
        </w:rPr>
        <w:t xml:space="preserve">De acordo com </w:t>
      </w:r>
      <w:r>
        <w:rPr>
          <w:rFonts w:cs="Cambria" w:ascii="Cambria" w:hAnsi="Cambria"/>
          <w:b/>
          <w:bCs/>
          <w:sz w:val="24"/>
          <w:szCs w:val="24"/>
        </w:rPr>
        <w:t>Francisco Dirceu Barros</w:t>
      </w:r>
      <w:r>
        <w:rPr>
          <w:rFonts w:cs="Cambria" w:ascii="Cambria" w:hAnsi="Cambria"/>
          <w:sz w:val="24"/>
          <w:szCs w:val="24"/>
        </w:rPr>
        <w:t xml:space="preserve"> (Manual de Prática Eleitoral, 2016, p. 673) a </w:t>
      </w:r>
      <w:r>
        <w:rPr>
          <w:rFonts w:cs="Cambria" w:ascii="Cambria" w:hAnsi="Cambria"/>
          <w:b/>
          <w:bCs/>
          <w:sz w:val="24"/>
          <w:szCs w:val="24"/>
        </w:rPr>
        <w:t>competência</w:t>
      </w:r>
      <w:r>
        <w:rPr>
          <w:rFonts w:cs="Cambria" w:ascii="Cambria" w:hAnsi="Cambria"/>
          <w:sz w:val="24"/>
          <w:szCs w:val="24"/>
        </w:rPr>
        <w:t xml:space="preserve"> para conhecer a julgar as representações por prática de condutas vedadas, será definida da seguinte maneira: </w:t>
      </w:r>
    </w:p>
    <w:p>
      <w:pPr>
        <w:pStyle w:val="Recuodecorpodetexto21"/>
        <w:spacing w:lineRule="auto" w:line="24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360" w:before="0" w:after="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cs="Cambria" w:ascii="Cambria" w:hAnsi="Cambria"/>
          <w:color w:val="000000"/>
          <w:sz w:val="22"/>
          <w:szCs w:val="22"/>
        </w:rPr>
        <w:t>a) na segunda instância, perante o Tribunal Superior Eleitoral, quando se tratar de candidato a presidente ou vice-presidente da República, através do corregedor-geral eleitoral;</w:t>
      </w:r>
    </w:p>
    <w:p>
      <w:pPr>
        <w:pStyle w:val="Corpodotexto"/>
        <w:widowControl w:val="false"/>
        <w:suppressAutoHyphens w:val="true"/>
        <w:bidi w:val="0"/>
        <w:spacing w:lineRule="auto" w:line="360" w:before="0" w:after="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cs="Cambria" w:ascii="Cambria" w:hAnsi="Cambria"/>
          <w:color w:val="000000"/>
          <w:sz w:val="22"/>
          <w:szCs w:val="22"/>
        </w:rPr>
        <w:t>b) na segunda instância, perante os Tribunais Regionais Eleitorais, quando se tratar de candidato a senador, governador e vice-governador de Estado e do Distrito Federal, deputado federal, deputado estadual e deputado distrital. Tarvés do corregedor-geral eleitoral;</w:t>
      </w:r>
    </w:p>
    <w:p>
      <w:pPr>
        <w:pStyle w:val="Corpodotexto"/>
        <w:widowControl w:val="false"/>
        <w:suppressAutoHyphens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Cambria" w:ascii="Cambria" w:hAnsi="Cambria"/>
          <w:b/>
          <w:bCs/>
          <w:color w:val="000000"/>
          <w:sz w:val="22"/>
          <w:szCs w:val="22"/>
        </w:rPr>
        <w:t>c) na primeira instância, quando se tratar de candidato a prefeito, vice-prefeito e vereador, através dos juízes eleitorais.</w:t>
      </w:r>
      <w:r>
        <w:rPr>
          <w:rFonts w:cs="Cambria" w:ascii="Cambria" w:hAnsi="Cambria"/>
          <w:color w:val="000000"/>
          <w:sz w:val="22"/>
          <w:szCs w:val="22"/>
        </w:rPr>
        <w:t xml:space="preserve"> (Grifo nosso).</w:t>
      </w:r>
    </w:p>
    <w:p>
      <w:pPr>
        <w:pStyle w:val="Corpodotexto"/>
        <w:spacing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Da mesma forma, é o entendimento jurisprudencial amplamente majoritário, senão vejamos:</w:t>
      </w:r>
    </w:p>
    <w:p>
      <w:pPr>
        <w:pStyle w:val="Normal"/>
        <w:ind w:left="0" w:right="0" w:firstLine="1417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 xml:space="preserve">Recurso Eleitoral. Representação. </w:t>
      </w:r>
      <w:r>
        <w:rPr>
          <w:rFonts w:cs="Cambria" w:ascii="Cambria" w:hAnsi="Cambria"/>
          <w:b/>
          <w:bCs/>
          <w:sz w:val="22"/>
          <w:szCs w:val="22"/>
        </w:rPr>
        <w:t>Condutas vedadas aos agentes públicos. Art. 73, V, da Lei nº 9.504/97. Demissão de servidores municipais após o encerramento do pleito, pela Prefeita, candidata derrotada nas eleições.</w:t>
      </w:r>
      <w:r>
        <w:rPr>
          <w:rFonts w:cs="Cambria" w:ascii="Cambria" w:hAnsi="Cambria"/>
          <w:sz w:val="22"/>
          <w:szCs w:val="22"/>
        </w:rPr>
        <w:t xml:space="preserve"> Representação julgada procedente. Condenação ao pagamento de multa em 1ª instância. Preliminares: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b/>
          <w:b/>
          <w:bCs/>
          <w:sz w:val="22"/>
          <w:szCs w:val="22"/>
        </w:rPr>
      </w:pPr>
      <w:r>
        <w:rPr>
          <w:rFonts w:cs="Cambria" w:ascii="Cambria" w:hAnsi="Cambria"/>
          <w:b/>
          <w:bCs/>
          <w:sz w:val="22"/>
          <w:szCs w:val="22"/>
        </w:rPr>
        <w:t>1- Incompetência da Justiça Eleitoral. Rejeitada. Contratos rescindidos antes da posse dos eleitos, portanto, durante o período vedado. Violação à legislação eleitoral, mais precisamente ao disposto no art. 73, V, da Lei nº 9.504/97, que firma a competência desta Justiça Eleitoral para apreciação do feito.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 xml:space="preserve">2- Ilegitimidade ativa ad causam. Acolhida. A representação foi ajuizada pelos próprios servidores municipais, que não detêm legitimidade para propor representação, nos termos do art. 96 da Lei nº 9.504/97. Compete somente aos partidos políticos, coligações e candidatos representar contra o descumprimento da Lei Geral das Eleições.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>Extinção do processo sem julgamento do mérito. Art. 267, VI, do CPC. (RECURSO ELEITORAL nº 4272005, Acórdão nº 1244 de 18/08/2005, Relator(a) WELITON MILITÃO DOS SANTOS, Publicação: DJMG - Diário do Judiciário-Minas Gerais, Data 18/10/2005, Página 96 ) (Grifo nosso)</w:t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Normal"/>
        <w:ind w:left="0" w:right="0" w:firstLine="1417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ind w:left="0" w:right="0" w:firstLine="1417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Por fim, deve-se salientar que nos casos em questão não se aplica o foro por prerrogativa de função nas ações cíveis eleitorais, já que não se trata de matéria afeta a matéria criminal.</w:t>
      </w:r>
    </w:p>
    <w:p>
      <w:pPr>
        <w:pStyle w:val="Normal"/>
        <w:ind w:left="0" w:right="0" w:firstLine="1417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2.2. Da legitimidade passiva.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Sobre a legitimidade para integrar o polo passivo da presente representação, dispõe o § 1º do art. 73 da Lei n.º 9.504/97, </w:t>
      </w:r>
      <w:r>
        <w:rPr>
          <w:rFonts w:cs="Cambria" w:ascii="Cambria" w:hAnsi="Cambria"/>
          <w:i/>
          <w:sz w:val="24"/>
          <w:szCs w:val="24"/>
        </w:rPr>
        <w:t>in verbis</w:t>
      </w:r>
      <w:r>
        <w:rPr>
          <w:rFonts w:cs="Cambria" w:ascii="Cambria" w:hAnsi="Cambria"/>
          <w:sz w:val="24"/>
          <w:szCs w:val="24"/>
        </w:rPr>
        <w:t>:</w:t>
      </w:r>
    </w:p>
    <w:p>
      <w:pPr>
        <w:pStyle w:val="Recuodecorpodetexto21"/>
        <w:spacing w:lineRule="auto" w:line="24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360" w:before="0" w:after="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bookmarkStart w:id="0" w:name="art73"/>
      <w:bookmarkEnd w:id="0"/>
      <w:r>
        <w:rPr>
          <w:rFonts w:cs="Cambria" w:ascii="Cambria" w:hAnsi="Cambria"/>
          <w:color w:val="000000"/>
          <w:sz w:val="22"/>
          <w:szCs w:val="22"/>
        </w:rPr>
        <w:t>Art. 73. São proibidas aos agentes públicos, servidores ou não, as seguintes condutas tendentes a afetar a igualdade de oportunidades entre candidatos nos pleitos eleitorais:</w:t>
      </w:r>
    </w:p>
    <w:p>
      <w:pPr>
        <w:pStyle w:val="Corpodotexto"/>
        <w:spacing w:before="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Interpretando o citado artigo de lei, leciona Renato Ventura Ribeiro:</w:t>
      </w:r>
      <w:r>
        <w:rPr>
          <w:rStyle w:val="Caracteresdenotaderodap"/>
          <w:rStyle w:val="Ncoradanotaderodap"/>
          <w:rFonts w:cs="Cambria" w:ascii="Cambria" w:hAnsi="Cambria"/>
          <w:sz w:val="24"/>
          <w:szCs w:val="24"/>
        </w:rPr>
        <w:footnoteReference w:id="2"/>
      </w:r>
    </w:p>
    <w:p>
      <w:pPr>
        <w:pStyle w:val="Recuodecorpodetexto21"/>
        <w:spacing w:lineRule="auto" w:line="240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</w:r>
    </w:p>
    <w:p>
      <w:pPr>
        <w:pStyle w:val="Recuodecorpodetexto21"/>
        <w:spacing w:lineRule="auto" w:line="240"/>
        <w:ind w:left="2835" w:right="0" w:hanging="0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</w:r>
    </w:p>
    <w:p>
      <w:pPr>
        <w:pStyle w:val="Recuodecorpodetexto21"/>
        <w:widowControl/>
        <w:suppressAutoHyphens w:val="true"/>
        <w:bidi w:val="0"/>
        <w:spacing w:lineRule="auto" w:line="24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 xml:space="preserve">Trata-se, aliás, de definição próxima daquela da lei de improbidade administrativa (Lei 8.429/92, arts. 1º e 2º). </w:t>
      </w:r>
      <w:r>
        <w:rPr>
          <w:rFonts w:cs="Cambria" w:ascii="Cambria" w:hAnsi="Cambria"/>
          <w:b/>
          <w:sz w:val="22"/>
          <w:szCs w:val="22"/>
        </w:rPr>
        <w:t xml:space="preserve">Considera-se agente público a pessoa física e não o ente público no qual ela exerce funções. </w:t>
      </w:r>
      <w:r>
        <w:rPr>
          <w:rFonts w:cs="Cambria" w:ascii="Cambria" w:hAnsi="Cambria"/>
          <w:sz w:val="22"/>
          <w:szCs w:val="22"/>
        </w:rPr>
        <w:t>Na Administração Indireta incluem-se as fundações públicas.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Fonts w:cs="Cambria" w:ascii="Cambria" w:hAnsi="Cambria"/>
          <w:b/>
          <w:sz w:val="22"/>
          <w:szCs w:val="22"/>
        </w:rPr>
        <w:t xml:space="preserve">A lei procurou ser abrangente, sem distinção quanto à remuneração ou não do agente, caráter interino ou não, forma de investidura ou vínculo, não fazendo distinção entre </w:t>
      </w:r>
      <w:r>
        <w:rPr>
          <w:rFonts w:cs="Cambria" w:ascii="Cambria" w:hAnsi="Cambria"/>
          <w:b/>
          <w:sz w:val="22"/>
          <w:szCs w:val="22"/>
          <w:u w:val="single"/>
        </w:rPr>
        <w:t>mandato eletivo</w:t>
      </w:r>
      <w:r>
        <w:rPr>
          <w:rFonts w:cs="Cambria" w:ascii="Cambria" w:hAnsi="Cambria"/>
          <w:b/>
          <w:sz w:val="22"/>
          <w:szCs w:val="22"/>
        </w:rPr>
        <w:t>, cargo, emprego ou função, seja em órgãos ou entidades da administração pública.</w:t>
      </w:r>
      <w:r>
        <w:rPr>
          <w:rFonts w:cs="Cambria" w:ascii="Cambria" w:hAnsi="Cambria"/>
          <w:sz w:val="22"/>
          <w:szCs w:val="22"/>
        </w:rPr>
        <w:t>– g.n.</w:t>
      </w:r>
    </w:p>
    <w:p>
      <w:pPr>
        <w:pStyle w:val="Normal"/>
        <w:ind w:left="0" w:right="0" w:firstLine="283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Logo, não há dúvida de que representado está incluso na descrição de agente público trazida pelo § 1º, do artigo 73, da Lei 9.504/97. O representado também foi o beneficiado pela própria conduta indevida e, por isso mesmo, está sujeito à pena prevista no § 4º do aludido art. 73 da Lei das Eleições.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Impende salientar que, como o representado não foi eleito no pleito municipal de 2024, não se cogita a imposição de cassação de diploma, mas somente as sanções previstas no artigo 73, § 4º, da Lei n.º 9.504/97, motivo pelo qual o candidato a vice-prefeito na chapa do representado não figura nesta ação como litisconsorte passivo necessário. 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Cs/>
          <w:color w:val="000000"/>
          <w:sz w:val="24"/>
          <w:szCs w:val="24"/>
        </w:rPr>
        <w:t xml:space="preserve">Neste sentido, o entendimento de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Igor Pereira Pinheiro</w:t>
      </w:r>
      <w:r>
        <w:rPr>
          <w:rFonts w:cs="Cambria" w:ascii="Cambria" w:hAnsi="Cambria"/>
          <w:color w:val="000000"/>
          <w:sz w:val="24"/>
          <w:szCs w:val="24"/>
        </w:rPr>
        <w:t xml:space="preserve"> (Condutas Vedadas aos Agentes Públicos em Ano Eleitoral, 2016, p. 329): “Diferentemente, contudo, é a hipótese da demanda visar apenas a imposição da sanção de multa, quando não é necessário o litisconsórcio entre os integrantes da chapa majoritária, devendo o feito ser ajuizado recomendavelmente contra todos os responsáveis pelo ilícito”. </w:t>
      </w:r>
    </w:p>
    <w:p>
      <w:pPr>
        <w:pStyle w:val="Normal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2.3. Da ofensa ao art. 73, inciso V, da Lei n.º 9.504/97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A Lei n.º 9.504/97, dispondo sobre as condutas vedadas aos agentes públicos, assim proíbe,</w:t>
      </w:r>
      <w:r>
        <w:rPr>
          <w:rFonts w:cs="Cambria" w:ascii="Cambria" w:hAnsi="Cambria"/>
          <w:i/>
          <w:sz w:val="24"/>
          <w:szCs w:val="24"/>
        </w:rPr>
        <w:t xml:space="preserve"> in verbis:</w:t>
      </w:r>
    </w:p>
    <w:p>
      <w:pPr>
        <w:pStyle w:val="Blockquote"/>
        <w:spacing w:lineRule="auto" w:line="360" w:before="0" w:after="0"/>
        <w:ind w:left="1701" w:right="-1" w:hanging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Blockquote"/>
        <w:suppressAutoHyphens w:val="true"/>
        <w:bidi w:val="0"/>
        <w:spacing w:before="0" w:after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 xml:space="preserve">Art. 73. </w:t>
      </w:r>
      <w:r>
        <w:rPr>
          <w:rFonts w:cs="Cambria" w:ascii="Cambria" w:hAnsi="Cambria"/>
          <w:b/>
          <w:bCs/>
          <w:sz w:val="22"/>
          <w:szCs w:val="22"/>
        </w:rPr>
        <w:t>São proibidas aos agentes públicos, servidores ou não, as seguintes condutas tendentes a afetar a igualdade de oportunidades entre candidatos nos pleitos eleitorais:</w:t>
      </w:r>
    </w:p>
    <w:p>
      <w:pPr>
        <w:pStyle w:val="Corpodotexto"/>
        <w:suppressAutoHyphens w:val="true"/>
        <w:bidi w:val="0"/>
        <w:spacing w:before="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(...)</w:t>
      </w:r>
    </w:p>
    <w:p>
      <w:pPr>
        <w:pStyle w:val="Corpodotexto"/>
        <w:suppressAutoHyphens w:val="true"/>
        <w:bidi w:val="0"/>
        <w:spacing w:before="0" w:after="0"/>
        <w:ind w:left="2268" w:right="0" w:hanging="0"/>
        <w:jc w:val="both"/>
        <w:rPr/>
      </w:pPr>
      <w:bookmarkStart w:id="1" w:name="art73v"/>
      <w:bookmarkEnd w:id="1"/>
      <w:r>
        <w:rPr>
          <w:rFonts w:cs="Cambria" w:ascii="Cambria" w:hAnsi="Cambria"/>
          <w:color w:val="000000"/>
          <w:sz w:val="22"/>
          <w:szCs w:val="22"/>
        </w:rPr>
        <w:t xml:space="preserve">V - nomear, contratar ou de qualquer forma admitir, </w:t>
      </w:r>
      <w:r>
        <w:rPr>
          <w:rFonts w:cs="Cambria" w:ascii="Cambria" w:hAnsi="Cambria"/>
          <w:b/>
          <w:bCs/>
          <w:color w:val="000000"/>
          <w:sz w:val="22"/>
          <w:szCs w:val="22"/>
        </w:rPr>
        <w:t>demitir sem justa causa,</w:t>
      </w:r>
      <w:r>
        <w:rPr>
          <w:rFonts w:cs="Cambria" w:ascii="Cambria" w:hAnsi="Cambria"/>
          <w:color w:val="000000"/>
          <w:sz w:val="22"/>
          <w:szCs w:val="22"/>
        </w:rPr>
        <w:t xml:space="preserve"> suprimir ou readaptar vantagens ou por outros meios dificultar ou impedir o exercício funcional e, ainda, </w:t>
      </w:r>
      <w:r>
        <w:rPr>
          <w:rFonts w:cs="Cambria" w:ascii="Cambria" w:hAnsi="Cambria"/>
          <w:i/>
          <w:color w:val="000000"/>
          <w:sz w:val="22"/>
          <w:szCs w:val="22"/>
        </w:rPr>
        <w:t>ex officio</w:t>
      </w:r>
      <w:r>
        <w:rPr>
          <w:rFonts w:cs="Cambria" w:ascii="Cambria" w:hAnsi="Cambria"/>
          <w:color w:val="000000"/>
          <w:sz w:val="22"/>
          <w:szCs w:val="22"/>
        </w:rPr>
        <w:t xml:space="preserve">, remover, transferir ou exonerar servidor público, na circunscrição do pleito, </w:t>
      </w:r>
      <w:r>
        <w:rPr>
          <w:rFonts w:cs="Cambria" w:ascii="Cambria" w:hAnsi="Cambria"/>
          <w:b/>
          <w:bCs/>
          <w:color w:val="000000"/>
          <w:sz w:val="22"/>
          <w:szCs w:val="22"/>
        </w:rPr>
        <w:t>nos três meses que o antecedem e até a posse dos eleitos, sob pena de nulidade de pleno direito, ressalvados:</w:t>
      </w:r>
    </w:p>
    <w:p>
      <w:pPr>
        <w:pStyle w:val="Corpodotexto"/>
        <w:suppressAutoHyphens w:val="true"/>
        <w:bidi w:val="0"/>
        <w:spacing w:before="0" w:after="0"/>
        <w:ind w:left="2268" w:right="0" w:hanging="0"/>
        <w:jc w:val="both"/>
        <w:rPr/>
      </w:pPr>
      <w:bookmarkStart w:id="2" w:name="art73va"/>
      <w:bookmarkEnd w:id="2"/>
      <w:r>
        <w:rPr>
          <w:rFonts w:cs="Cambria" w:ascii="Cambria" w:hAnsi="Cambria"/>
          <w:color w:val="000000"/>
          <w:sz w:val="22"/>
          <w:szCs w:val="22"/>
        </w:rPr>
        <w:t xml:space="preserve">a) a nomeação ou </w:t>
      </w:r>
      <w:r>
        <w:rPr>
          <w:rFonts w:cs="Cambria" w:ascii="Cambria" w:hAnsi="Cambria"/>
          <w:b/>
          <w:bCs/>
          <w:color w:val="000000"/>
          <w:sz w:val="22"/>
          <w:szCs w:val="22"/>
        </w:rPr>
        <w:t>exoneração de cargos em comissão</w:t>
      </w:r>
      <w:r>
        <w:rPr>
          <w:rFonts w:cs="Cambria" w:ascii="Cambria" w:hAnsi="Cambria"/>
          <w:color w:val="000000"/>
          <w:sz w:val="22"/>
          <w:szCs w:val="22"/>
        </w:rPr>
        <w:t xml:space="preserve"> e designação ou dispensa de funções de confiança;</w:t>
      </w:r>
    </w:p>
    <w:p>
      <w:pPr>
        <w:pStyle w:val="Corpodotexto"/>
        <w:suppressAutoHyphens w:val="true"/>
        <w:bidi w:val="0"/>
        <w:spacing w:before="0" w:after="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bookmarkStart w:id="3" w:name="art73vb"/>
      <w:bookmarkEnd w:id="3"/>
      <w:r>
        <w:rPr>
          <w:rFonts w:cs="Cambria" w:ascii="Cambria" w:hAnsi="Cambria"/>
          <w:color w:val="000000"/>
          <w:sz w:val="22"/>
          <w:szCs w:val="22"/>
        </w:rPr>
        <w:t>b) a nomeação para cargos do Poder Judiciário, do Ministério Público, dos Tribunais ou Conselhos de Contas e dos órgãos da Presidência da República;</w:t>
      </w:r>
    </w:p>
    <w:p>
      <w:pPr>
        <w:pStyle w:val="Corpodotexto"/>
        <w:suppressAutoHyphens w:val="true"/>
        <w:bidi w:val="0"/>
        <w:spacing w:before="0" w:after="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bookmarkStart w:id="4" w:name="art73vc"/>
      <w:bookmarkEnd w:id="4"/>
      <w:r>
        <w:rPr>
          <w:rFonts w:cs="Cambria" w:ascii="Cambria" w:hAnsi="Cambria"/>
          <w:color w:val="000000"/>
          <w:sz w:val="22"/>
          <w:szCs w:val="22"/>
        </w:rPr>
        <w:t>c) a nomeação dos aprovados em concursos públicos homologados até o início daquele prazo;</w:t>
      </w:r>
    </w:p>
    <w:p>
      <w:pPr>
        <w:pStyle w:val="Corpodotexto"/>
        <w:suppressAutoHyphens w:val="true"/>
        <w:bidi w:val="0"/>
        <w:spacing w:before="0" w:after="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bookmarkStart w:id="5" w:name="art73vd"/>
      <w:bookmarkEnd w:id="5"/>
      <w:r>
        <w:rPr>
          <w:rFonts w:cs="Cambria" w:ascii="Cambria" w:hAnsi="Cambria"/>
          <w:color w:val="000000"/>
          <w:sz w:val="22"/>
          <w:szCs w:val="22"/>
        </w:rPr>
        <w:t>d) a nomeação ou contratação necessária à instalação ou ao funcionamento inadiável de serviços públicos essenciais, com prévia e expressa autorização do Chefe do Poder Executivo;</w:t>
      </w:r>
    </w:p>
    <w:p>
      <w:pPr>
        <w:pStyle w:val="Corpodotexto"/>
        <w:suppressAutoHyphens w:val="true"/>
        <w:bidi w:val="0"/>
        <w:spacing w:before="0" w:after="0"/>
        <w:ind w:left="2268" w:right="0" w:hanging="0"/>
        <w:jc w:val="both"/>
        <w:rPr/>
      </w:pPr>
      <w:bookmarkStart w:id="6" w:name="art73ve"/>
      <w:bookmarkEnd w:id="6"/>
      <w:r>
        <w:rPr>
          <w:rFonts w:cs="Cambria" w:ascii="Cambria" w:hAnsi="Cambria"/>
          <w:color w:val="000000"/>
          <w:sz w:val="22"/>
          <w:szCs w:val="22"/>
        </w:rPr>
        <w:t xml:space="preserve">e) a transferência ou remoção </w:t>
      </w:r>
      <w:r>
        <w:rPr>
          <w:rFonts w:cs="Cambria" w:ascii="Cambria" w:hAnsi="Cambria"/>
          <w:i/>
          <w:color w:val="000000"/>
          <w:sz w:val="22"/>
          <w:szCs w:val="22"/>
        </w:rPr>
        <w:t xml:space="preserve">ex officio </w:t>
      </w:r>
      <w:r>
        <w:rPr>
          <w:rFonts w:cs="Cambria" w:ascii="Cambria" w:hAnsi="Cambria"/>
          <w:color w:val="000000"/>
          <w:sz w:val="22"/>
          <w:szCs w:val="22"/>
        </w:rPr>
        <w:t>de militares, policiais civis e de agentes penitenciários; (griso nosso).</w:t>
      </w:r>
    </w:p>
    <w:p>
      <w:pPr>
        <w:pStyle w:val="Normal"/>
        <w:ind w:left="0" w:right="0" w:firstLine="1417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O legislador procurou combater as irregularidades que afetam, direta ou indiretamente, a normalidade e a legitimidade das eleições, pelo uso indevido da estrutura da administração pública. Não se pode permitir que a máquina administrativa seja usada para reforçar ou alavancar campanha eleitoral de qualquer candidato, nem como instrumento de vindita em face do insucesso na campanha, em verdadeiro atentado ao princípio republicano.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A doutrina, nas lições de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Igor Pereira Pinheiro</w:t>
      </w:r>
      <w:r>
        <w:rPr>
          <w:rFonts w:cs="Cambria" w:ascii="Cambria" w:hAnsi="Cambria"/>
          <w:color w:val="000000"/>
          <w:sz w:val="24"/>
          <w:szCs w:val="24"/>
        </w:rPr>
        <w:t xml:space="preserve"> (Condutas Vedadas aos Agentes Públicos em Ano Eleitoral, 2016, p. 161), entende que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o dispositivo em referência regulamenta os poderes dos agentes públicos referentes à relação de trabalho,</w:t>
      </w:r>
      <w:r>
        <w:rPr>
          <w:rFonts w:cs="Cambria" w:ascii="Cambria" w:hAnsi="Cambria"/>
          <w:color w:val="000000"/>
          <w:sz w:val="24"/>
          <w:szCs w:val="24"/>
        </w:rPr>
        <w:t xml:space="preserve"> de modo a impedir que a escolha político-partidária dos agentes estatais seja fator propulsor de perseguições ou concessões de vantagens indevidas, algo muito comum na realidade eleitoral de nosso país, em especial nos pequenos municípios. Assim, como o objetivo de neutralizar tais práticas o dispositivo proíbe qualquer tipo de admissão ao serviço público, seja por nomeação (salvo cargos comissionados e funções de confiança), ou por contratação. </w:t>
      </w:r>
      <w:r>
        <w:rPr>
          <w:rFonts w:cs="Cambria" w:ascii="Cambria" w:hAnsi="Cambria"/>
          <w:b/>
          <w:bCs/>
          <w:color w:val="000000"/>
          <w:sz w:val="24"/>
          <w:szCs w:val="24"/>
          <w:u w:val="single"/>
        </w:rPr>
        <w:t>Por via contrária, também fica interditada a demissão sem justa causa, inclusive de temporários (a demissão com junta causa ou a pedido são permitidas).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Desta feita, enquanto perdurar o período vedado da Lei Eleitoral, os atos rescisórios ou demissionários são </w:t>
      </w:r>
      <w:r>
        <w:rPr>
          <w:rFonts w:cs="Cambria" w:ascii="Cambria" w:hAnsi="Cambria"/>
          <w:b/>
          <w:bCs/>
          <w:sz w:val="24"/>
          <w:szCs w:val="24"/>
        </w:rPr>
        <w:t>vinculados</w:t>
      </w:r>
      <w:r>
        <w:rPr>
          <w:rFonts w:cs="Cambria" w:ascii="Cambria" w:hAnsi="Cambria"/>
          <w:sz w:val="24"/>
          <w:szCs w:val="24"/>
        </w:rPr>
        <w:t xml:space="preserve">, </w:t>
      </w:r>
      <w:r>
        <w:rPr>
          <w:rFonts w:cs="Cambria" w:ascii="Cambria" w:hAnsi="Cambria"/>
          <w:i/>
          <w:sz w:val="24"/>
          <w:szCs w:val="24"/>
        </w:rPr>
        <w:t>i.e.</w:t>
      </w:r>
      <w:r>
        <w:rPr>
          <w:rFonts w:cs="Cambria" w:ascii="Cambria" w:hAnsi="Cambria"/>
          <w:sz w:val="24"/>
          <w:szCs w:val="24"/>
        </w:rPr>
        <w:t xml:space="preserve">, restritos a exceções expressas nas alíneas </w:t>
      </w:r>
      <w:r>
        <w:rPr>
          <w:rFonts w:cs="Cambria" w:ascii="Cambria" w:hAnsi="Cambria"/>
          <w:i/>
          <w:sz w:val="24"/>
          <w:szCs w:val="24"/>
        </w:rPr>
        <w:t>a</w:t>
      </w:r>
      <w:r>
        <w:rPr>
          <w:rFonts w:cs="Cambria" w:ascii="Cambria" w:hAnsi="Cambria"/>
          <w:sz w:val="24"/>
          <w:szCs w:val="24"/>
        </w:rPr>
        <w:t xml:space="preserve"> a </w:t>
      </w:r>
      <w:r>
        <w:rPr>
          <w:rFonts w:cs="Cambria" w:ascii="Cambria" w:hAnsi="Cambria"/>
          <w:i/>
          <w:sz w:val="24"/>
          <w:szCs w:val="24"/>
        </w:rPr>
        <w:t>e</w:t>
      </w:r>
      <w:r>
        <w:rPr>
          <w:rFonts w:cs="Cambria" w:ascii="Cambria" w:hAnsi="Cambria"/>
          <w:sz w:val="24"/>
          <w:szCs w:val="24"/>
        </w:rPr>
        <w:t xml:space="preserve"> do preceito legal supra. Não importando se a rescisão contratual apresentava ou não caráter de perseguição política. </w:t>
      </w:r>
      <w:r>
        <w:rPr>
          <w:rFonts w:cs="Cambria" w:ascii="Cambria" w:hAnsi="Cambria"/>
          <w:b/>
          <w:bCs/>
          <w:sz w:val="24"/>
          <w:szCs w:val="24"/>
        </w:rPr>
        <w:t>Dentro daquele espaço de tempo, o administrador NÃO pode, fora das exceções legalmente expressas, nomear, contratar, admitir, demitir sem justa causa, suprimir ou readaptar vantagens, ficando sujeito, se assim agir, as sanções da Lei nº 9.504/1997</w:t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Sem dúvida alguma, condutas como a ora descrita </w:t>
      </w:r>
      <w:r>
        <w:rPr>
          <w:rFonts w:cs="Cambria" w:ascii="Cambria" w:hAnsi="Cambria"/>
          <w:b/>
          <w:bCs/>
          <w:sz w:val="24"/>
          <w:szCs w:val="24"/>
        </w:rPr>
        <w:t>tendem a afetar a igualdade de oportunidades entre os candidatos no pleito eleitoral</w:t>
      </w:r>
      <w:r>
        <w:rPr>
          <w:rFonts w:cs="Cambria" w:ascii="Cambria" w:hAnsi="Cambria"/>
          <w:sz w:val="24"/>
          <w:szCs w:val="24"/>
        </w:rPr>
        <w:t>, em detrimento daqueles que não têm a mesma possibilidade de usar a máquina pública, por meio da nomeação de servidores, em proveito de suas candidaturas. A situação de ilícita vantagem em relação aos demais concorrentes ao pleito é, pois, evidente.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Conforme entendimento já pacificado na doutrina e jurisprudência, o que a lei proíbe é a simples prática de quaisquer das condutas vedadas elencadas nos incisos do art. 73 da Lei n.º 9.504/97, </w:t>
      </w:r>
      <w:r>
        <w:rPr>
          <w:rFonts w:cs="Cambria" w:ascii="Cambria" w:hAnsi="Cambria"/>
          <w:b/>
          <w:bCs/>
          <w:sz w:val="24"/>
          <w:szCs w:val="24"/>
        </w:rPr>
        <w:t>não havendo necessidade de se demonstrar potencialidade apta a causar desequilíbrio ou influir no resultado do pleito, nem benefício concreto a qualquer candidato,</w:t>
      </w:r>
      <w:r>
        <w:rPr>
          <w:rFonts w:cs="Cambria" w:ascii="Cambria" w:hAnsi="Cambria"/>
          <w:sz w:val="24"/>
          <w:szCs w:val="24"/>
        </w:rPr>
        <w:t xml:space="preserve"> a despeito de, no caso em tela, ser manifesta a vantagem auferida pelo representado.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Nesse sentido, precedentes do E. Tribunal Superior Eleitoral:</w:t>
      </w:r>
    </w:p>
    <w:p>
      <w:pPr>
        <w:pStyle w:val="Normal"/>
        <w:ind w:left="0" w:right="0" w:firstLine="283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>“</w:t>
      </w:r>
      <w:r>
        <w:rPr>
          <w:rFonts w:cs="Cambria" w:ascii="Cambria" w:hAnsi="Cambria"/>
          <w:sz w:val="22"/>
          <w:szCs w:val="22"/>
        </w:rPr>
        <w:t xml:space="preserve">Representação. Mensagem eletrônica com conteúdo eleitoral. Veiculação. Intranet de Prefeitura. Conduta vedada. Art. 73, VI, da Lei n.º 9.504/97. Caracterização.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 xml:space="preserve">1. Hipótese em que a Corte Regional entendeu caracterizada a conduta vedada a que se refere o art. 73, I, da Lei das Eleições, por uso de bem público em benefício de candidato, imputando a responsabilidade ao recorrente. Reexame de matéria fática. Impossibilidade.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Fonts w:cs="Cambria" w:ascii="Cambria" w:hAnsi="Cambria"/>
          <w:b/>
          <w:sz w:val="22"/>
          <w:szCs w:val="22"/>
        </w:rPr>
        <w:t xml:space="preserve">2. Para a configuração das hipóteses enumeradas no citado art. 73 não se exige a potencialidade da conduta, mas a mera prática dos atos proibidos.  </w:t>
      </w:r>
      <w:r>
        <w:rPr>
          <w:rFonts w:cs="Cambria" w:ascii="Cambria" w:hAnsi="Cambria"/>
          <w:sz w:val="22"/>
          <w:szCs w:val="22"/>
        </w:rPr>
        <w:t>(…)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Recurso especial não conhecido” (Acórdão n.º 21151, Relator Min. Fernando Neves da Silva, datado de 27/03/2003). (g.n.)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>…</w:t>
      </w:r>
      <w:r>
        <w:rPr>
          <w:rFonts w:cs="Cambria" w:ascii="Cambria" w:hAnsi="Cambria"/>
          <w:sz w:val="22"/>
          <w:szCs w:val="22"/>
        </w:rPr>
        <w:t>.............................................................................................…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>“</w:t>
      </w:r>
      <w:r>
        <w:rPr>
          <w:rFonts w:cs="Cambria" w:ascii="Cambria" w:hAnsi="Cambria"/>
          <w:sz w:val="22"/>
          <w:szCs w:val="22"/>
        </w:rPr>
        <w:t xml:space="preserve">Recurso especial. Eleição 2000. Representação. Conduta vedada. Propaganda institucional (art. 73, VI, b, da Lei n.º 9.504/97). Quebra do princípio da impessoalidade (art. 74 da Lei n.º 9.504/97, c.c. o art. 37, § 1º, da Constituição Federal). Competência da Justiça Eleitoral.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 xml:space="preserve">Preliminares. (...)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 xml:space="preserve">Mérito.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Para a caracterização de violação ao art. 73 da Lei n.º 9.504/97 não se cogita de potencialidade para influir no resultado do pleito. A só prática da conduta vedada estabelece presunção objetiva da desigualdade. Leva à cassação do registro ou do diploma. Pode ser executada imediatamente. (…)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Recurso conhecido e a que se dá provimento para cassar o diploma do prefeito, estendendo-se a decisão ao vice-prefeito”.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(Ac. n.º 21380, Rel. Min. Luiz Carlos Lopes Madeira, de 29/06/2004).</w:t>
      </w:r>
    </w:p>
    <w:p>
      <w:pPr>
        <w:pStyle w:val="Corpodotextorecuad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otextorecuad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O Tribunal Regional Eleitoral de Minas Gerais, em caso análogo, </w:t>
      </w:r>
      <w:r>
        <w:rPr>
          <w:rFonts w:cs="Cambria" w:ascii="Cambria" w:hAnsi="Cambria"/>
          <w:b/>
          <w:bCs/>
          <w:sz w:val="24"/>
          <w:szCs w:val="24"/>
        </w:rPr>
        <w:t>tornou nula a demissão/exoneração dos servidores realizadas durante o período vedado pela legislação eleitoral</w:t>
      </w:r>
      <w:r>
        <w:rPr>
          <w:rFonts w:cs="Cambria" w:ascii="Cambria" w:hAnsi="Cambria"/>
          <w:sz w:val="24"/>
          <w:szCs w:val="24"/>
        </w:rPr>
        <w:t>, conforme ementa que segue adiante transcrita, veja-se:</w:t>
      </w:r>
    </w:p>
    <w:p>
      <w:pPr>
        <w:pStyle w:val="Normal"/>
        <w:spacing w:lineRule="atLeast" w:line="200"/>
        <w:ind w:left="0" w:right="0" w:firstLine="129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 xml:space="preserve">Recurso Eleitoral. Representação. Conduta vedada a agente público. Procedência. Multa. Preliminar de incompetência da Justiça Eleitoral. Rejeitada. </w:t>
      </w:r>
      <w:r>
        <w:rPr>
          <w:rFonts w:cs="Cambria" w:ascii="Cambria" w:hAnsi="Cambria"/>
          <w:b/>
          <w:bCs/>
          <w:sz w:val="22"/>
          <w:szCs w:val="22"/>
        </w:rPr>
        <w:t>O ato de tornar sem efeito uma demissão traz como consequência imediata a volta dos funcionários aos quadros da Administração, sem que, contudo, seja necessário o ato da readmissão,</w:t>
      </w:r>
      <w:r>
        <w:rPr>
          <w:rFonts w:cs="Cambria" w:ascii="Cambria" w:hAnsi="Cambria"/>
          <w:sz w:val="22"/>
          <w:szCs w:val="22"/>
        </w:rPr>
        <w:t xml:space="preserve"> uma vez que não houve, propriamente, uma demissão. </w:t>
      </w:r>
      <w:r>
        <w:rPr>
          <w:rFonts w:cs="Cambria" w:ascii="Cambria" w:hAnsi="Cambria"/>
          <w:b/>
          <w:bCs/>
          <w:sz w:val="22"/>
          <w:szCs w:val="22"/>
        </w:rPr>
        <w:t>Comprovação de que foram demitidos, dentro do período vedado por lei, servidores no sentido lato da expressão, em afronta à legislação eleitoral. Caracterização da conduta vedada prevista no art. 73, V, da Lei n. 9.504/97.</w:t>
      </w:r>
      <w:r>
        <w:rPr>
          <w:rFonts w:cs="Cambria" w:ascii="Cambria" w:hAnsi="Cambria"/>
          <w:sz w:val="22"/>
          <w:szCs w:val="22"/>
        </w:rPr>
        <w:t xml:space="preserve">Redução da multa aplicada ao mínimo legal. Recurso a que se dá provimento parcial.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>(RECURSO ELEITORAL nº 6020, Acórdão nº 410 de 05/02/2009, Relator(a) ANTÔNIO ROMANELLI, Publicação: DJEMG - Diário de Justiça Eletrônico-TREMG, Data 12/03/2009)</w:t>
      </w:r>
    </w:p>
    <w:p>
      <w:pPr>
        <w:pStyle w:val="Normal"/>
        <w:spacing w:lineRule="auto" w:line="360"/>
        <w:ind w:left="0" w:right="0" w:firstLine="129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otextorecuado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Por último, observe-se que de acordo com a doutrina, conforme ensinamentos de </w:t>
      </w:r>
      <w:r>
        <w:rPr>
          <w:rFonts w:cs="Cambria" w:ascii="Cambria" w:hAnsi="Cambria"/>
          <w:b/>
          <w:bCs/>
          <w:sz w:val="24"/>
          <w:szCs w:val="24"/>
        </w:rPr>
        <w:t>Olivar Coneglian (Radiografia da Lei nº 9.504/97, 2016, p. 485)</w:t>
      </w:r>
      <w:r>
        <w:rPr>
          <w:rFonts w:cs="Cambria" w:ascii="Cambria" w:hAnsi="Cambria"/>
          <w:sz w:val="24"/>
          <w:szCs w:val="24"/>
        </w:rPr>
        <w:t xml:space="preserve"> os atos praticados em relação ao servidor nos períodos eleitoral e pós-eleitoral</w:t>
      </w:r>
      <w:r>
        <w:rPr>
          <w:rFonts w:cs="Cambria" w:ascii="Cambria" w:hAnsi="Cambria"/>
          <w:b/>
          <w:bCs/>
          <w:sz w:val="24"/>
          <w:szCs w:val="24"/>
          <w:u w:val="single"/>
        </w:rPr>
        <w:t xml:space="preserve"> são NULOS, e essa nulidade pode ser declarada administrativamente ou judicialmente.</w:t>
      </w:r>
    </w:p>
    <w:p>
      <w:pPr>
        <w:pStyle w:val="Corpodotextorecuado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Assim, diante da robusta prova coletada, resta patente que o ora representado incidiu na prática de condutas vedadas, consistente na demissão, em justa causa, de inúmeros servidores públicos, sujeitando-se, assim,</w:t>
      </w:r>
      <w:r>
        <w:rPr>
          <w:rFonts w:cs="Cambria" w:ascii="Cambria" w:hAnsi="Cambria"/>
          <w:b/>
          <w:bCs/>
          <w:sz w:val="24"/>
          <w:szCs w:val="24"/>
        </w:rPr>
        <w:t xml:space="preserve"> às sanções previstas nos § 4º do artigo 73, da Lei 9.504/97.</w:t>
      </w:r>
    </w:p>
    <w:p>
      <w:pPr>
        <w:pStyle w:val="Normal"/>
        <w:spacing w:lineRule="atLeast" w:line="20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2.4. Da aplicabilidade do novo CPC ao Processo Eleitoral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cs="Cambria" w:ascii="Cambria" w:hAnsi="Cambria"/>
          <w:bCs/>
          <w:sz w:val="24"/>
          <w:szCs w:val="24"/>
        </w:rPr>
        <w:t>Com a entrada em vigor do novo Código de Processo Civil, inúmeras alterações foram introduzidas no sistema jurídico pátrio, em especial, a expressa previsão da aplicação subsidiária ou supletiva do Código de Processo Civil no âmbito do Direito Eleitoral.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cs="Cambria" w:ascii="Cambria" w:hAnsi="Cambria"/>
          <w:bCs/>
          <w:sz w:val="24"/>
          <w:szCs w:val="24"/>
        </w:rPr>
        <w:t>Nesse contexto, o Tribunal Superior Eleitoral expediu a Resolução 23.478/2016, com o objetivo primordial de tratar sobre a aplicabilidade de determinados institutos jurídicos processuais previstos no Novo CPC – Lei n.º 13.105/2015, no âmbito da normatividade especial eleitoral considerando uma integração sistemática.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cs="Cambria" w:ascii="Cambria" w:hAnsi="Cambria"/>
          <w:bCs/>
          <w:sz w:val="24"/>
          <w:szCs w:val="24"/>
        </w:rPr>
        <w:t>O artigo 14 da norma regulamentar assim dispõe:</w:t>
      </w:r>
    </w:p>
    <w:p>
      <w:pPr>
        <w:pStyle w:val="Normal"/>
        <w:spacing w:lineRule="atLeast" w:line="200"/>
        <w:ind w:left="2268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200"/>
        <w:ind w:left="2268" w:right="0" w:hanging="0"/>
        <w:jc w:val="both"/>
        <w:rPr/>
      </w:pPr>
      <w:r>
        <w:rPr>
          <w:rStyle w:val="Nfase"/>
          <w:rFonts w:cs="Cambria" w:ascii="Cambria" w:hAnsi="Cambria"/>
          <w:sz w:val="22"/>
          <w:szCs w:val="22"/>
        </w:rPr>
        <w:t>Art. 14. Os pedidos autônomos de tutela provisória serão autuados em classe própria.</w:t>
      </w:r>
    </w:p>
    <w:p>
      <w:pPr>
        <w:pStyle w:val="Normal"/>
        <w:widowControl/>
        <w:suppressAutoHyphens w:val="true"/>
        <w:bidi w:val="0"/>
        <w:spacing w:lineRule="atLeast" w:line="200"/>
        <w:ind w:left="2268" w:right="0" w:hanging="0"/>
        <w:jc w:val="both"/>
        <w:rPr/>
      </w:pPr>
      <w:r>
        <w:rPr>
          <w:rStyle w:val="Nfase"/>
          <w:rFonts w:cs="Cambria" w:ascii="Cambria" w:hAnsi="Cambria"/>
          <w:sz w:val="22"/>
          <w:szCs w:val="22"/>
        </w:rPr>
        <w:t>Parágrafo único. Os pedidos apresentados de forma incidental em relação a feitos em tramitação serão encaminhados à autoridade judiciária competente, que determinará a sua juntada aos autos principais ou adotará as providências que entender cabíveis</w:t>
      </w:r>
      <w:r>
        <w:rPr>
          <w:rFonts w:cs="Cambria" w:ascii="Cambria" w:hAnsi="Cambria"/>
          <w:sz w:val="22"/>
          <w:szCs w:val="22"/>
        </w:rPr>
        <w:t>.</w:t>
      </w:r>
    </w:p>
    <w:p>
      <w:pPr>
        <w:pStyle w:val="Normal"/>
        <w:spacing w:lineRule="atLeast" w:line="200"/>
        <w:ind w:left="0" w:right="0" w:firstLine="1134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cs="Cambria" w:ascii="Cambria" w:hAnsi="Cambria"/>
          <w:bCs/>
          <w:sz w:val="24"/>
          <w:szCs w:val="24"/>
        </w:rPr>
      </w:r>
    </w:p>
    <w:p>
      <w:pPr>
        <w:pStyle w:val="Normal"/>
        <w:spacing w:lineRule="atLeast" w:line="200"/>
        <w:ind w:left="0" w:right="0" w:firstLine="1134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cs="Cambria" w:ascii="Cambria" w:hAnsi="Cambria"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200"/>
        <w:ind w:left="0" w:right="0" w:firstLine="1701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cs="Cambria" w:ascii="Cambria" w:hAnsi="Cambria"/>
          <w:bCs/>
          <w:sz w:val="24"/>
          <w:szCs w:val="24"/>
        </w:rPr>
        <w:t>E o artigo 21 assim preceitua:</w:t>
      </w:r>
    </w:p>
    <w:p>
      <w:pPr>
        <w:pStyle w:val="Normal"/>
        <w:spacing w:lineRule="atLeast" w:line="200"/>
        <w:ind w:left="2268" w:right="0" w:hanging="0"/>
        <w:jc w:val="both"/>
        <w:rPr>
          <w:rFonts w:ascii="Cambria" w:hAnsi="Cambria" w:cs="Cambria"/>
          <w:iCs/>
          <w:sz w:val="24"/>
          <w:szCs w:val="24"/>
        </w:rPr>
      </w:pPr>
      <w:r>
        <w:rPr>
          <w:rFonts w:cs="Cambria" w:ascii="Cambria" w:hAnsi="Cambria"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200"/>
        <w:ind w:left="2268" w:right="0" w:hanging="0"/>
        <w:jc w:val="both"/>
        <w:rPr>
          <w:rFonts w:ascii="Cambria" w:hAnsi="Cambria" w:cs="Cambria"/>
          <w:iCs/>
          <w:sz w:val="22"/>
          <w:szCs w:val="22"/>
        </w:rPr>
      </w:pPr>
      <w:r>
        <w:rPr>
          <w:rFonts w:cs="Cambria" w:ascii="Cambria" w:hAnsi="Cambria"/>
          <w:iCs/>
          <w:sz w:val="22"/>
          <w:szCs w:val="22"/>
        </w:rPr>
        <w:t>Art. 21. Até que seja criada a nova classe processual prevista no art. 14 desta Resolução, os pedidos de tutela provisória serão autuados, no Processo Judicial Eletrônico, na classe Ação Cautelar.</w:t>
      </w:r>
    </w:p>
    <w:p>
      <w:pPr>
        <w:pStyle w:val="Normal"/>
        <w:spacing w:lineRule="atLeast" w:line="200"/>
        <w:ind w:left="0" w:right="0" w:firstLine="1134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Cs/>
          <w:sz w:val="24"/>
          <w:szCs w:val="24"/>
        </w:rPr>
        <w:t xml:space="preserve">Com efeito, o artigo 294 do Código de Processo Civil trata da tutela provisória, que pode ser: de urgência ou evidência. A tutela de urgência (satisfativa ou cautelar) é aquela prevista no artigo 300, e parágrafos, do CPC e pressupõe a </w:t>
      </w:r>
      <w:r>
        <w:rPr>
          <w:rFonts w:cs="Cambria" w:ascii="Cambria" w:hAnsi="Cambria"/>
          <w:bCs/>
          <w:caps/>
          <w:sz w:val="24"/>
          <w:szCs w:val="24"/>
        </w:rPr>
        <w:t>“probabilidade do direito”</w:t>
      </w:r>
      <w:r>
        <w:rPr>
          <w:rFonts w:cs="Cambria" w:ascii="Cambria" w:hAnsi="Cambria"/>
          <w:bCs/>
          <w:sz w:val="24"/>
          <w:szCs w:val="24"/>
        </w:rPr>
        <w:t xml:space="preserve">, o </w:t>
      </w:r>
      <w:r>
        <w:rPr>
          <w:rFonts w:cs="Cambria" w:ascii="Cambria" w:hAnsi="Cambria"/>
          <w:bCs/>
          <w:caps/>
          <w:sz w:val="24"/>
          <w:szCs w:val="24"/>
        </w:rPr>
        <w:t>“perigo de dano ou o risco ao resultado útil do processo”</w:t>
      </w:r>
      <w:r>
        <w:rPr>
          <w:rFonts w:cs="Cambria" w:ascii="Cambria" w:hAnsi="Cambria"/>
          <w:bCs/>
          <w:sz w:val="24"/>
          <w:szCs w:val="24"/>
        </w:rPr>
        <w:t xml:space="preserve"> e a ausência de </w:t>
      </w:r>
      <w:r>
        <w:rPr>
          <w:rFonts w:cs="Cambria" w:ascii="Cambria" w:hAnsi="Cambria"/>
          <w:bCs/>
          <w:caps/>
          <w:sz w:val="24"/>
          <w:szCs w:val="24"/>
        </w:rPr>
        <w:t>“perigo de irreversibilidade dos efeitos da decisão”</w:t>
      </w:r>
      <w:r>
        <w:rPr>
          <w:rFonts w:cs="Cambria" w:ascii="Cambria" w:hAnsi="Cambria"/>
          <w:bCs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Desta feita, a “probabilidade do direito” alegado decorre dos documentos acostados à presente petição, uma vez que demonstram a </w:t>
      </w:r>
      <w:r>
        <w:rPr>
          <w:rFonts w:cs="Cambria" w:ascii="Cambria" w:hAnsi="Cambria"/>
          <w:b/>
          <w:bCs/>
          <w:sz w:val="24"/>
          <w:szCs w:val="24"/>
        </w:rPr>
        <w:t>gravidade da situação</w:t>
      </w:r>
      <w:r>
        <w:rPr>
          <w:rFonts w:cs="Cambria" w:ascii="Cambria" w:hAnsi="Cambria"/>
          <w:sz w:val="24"/>
          <w:szCs w:val="24"/>
        </w:rPr>
        <w:t xml:space="preserve"> (perigo de dano), </w:t>
      </w:r>
      <w:r>
        <w:rPr>
          <w:rFonts w:cs="Cambria" w:ascii="Cambria" w:hAnsi="Cambria"/>
          <w:b/>
          <w:bCs/>
          <w:sz w:val="24"/>
          <w:szCs w:val="24"/>
          <w:u w:val="single"/>
        </w:rPr>
        <w:t>tendo em vista que 341 (trezentos e quarenta e uma) pessoas e famílias tiveram seu sustento abalado com a rescisão indevida e prematura de seus contratos de trabalho.</w:t>
      </w:r>
    </w:p>
    <w:p>
      <w:pPr>
        <w:pStyle w:val="Normal"/>
        <w:spacing w:lineRule="auto" w:line="360"/>
        <w:ind w:left="0" w:right="0" w:firstLine="1417"/>
        <w:jc w:val="both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3. DOS PEDIDOS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Pelo exposto, requer-se: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a) </w:t>
      </w:r>
      <w:r>
        <w:rPr>
          <w:rFonts w:cs="Cambria" w:ascii="Cambria" w:hAnsi="Cambria"/>
          <w:sz w:val="24"/>
          <w:szCs w:val="24"/>
        </w:rPr>
        <w:t>o recebimento e</w:t>
      </w:r>
      <w:r>
        <w:rPr>
          <w:rFonts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 processamento da presente representação, com a adoção do rito previsto no art. 22 da Lei Complementar n.º 64/90;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b)</w:t>
      </w:r>
      <w:r>
        <w:rPr>
          <w:rFonts w:cs="Cambria" w:ascii="Cambria" w:hAnsi="Cambria"/>
          <w:sz w:val="24"/>
          <w:szCs w:val="24"/>
        </w:rPr>
        <w:t xml:space="preserve"> a notificação do representado </w:t>
      </w:r>
      <w:r>
        <w:rPr>
          <w:rFonts w:cs="Cambria" w:ascii="Cambria" w:hAnsi="Cambria"/>
          <w:b/>
          <w:bCs/>
          <w:sz w:val="24"/>
          <w:szCs w:val="24"/>
        </w:rPr>
        <w:t>XXXXXX XXXXXXXX XXXXXXXXXX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 endereço supramencionado,</w:t>
      </w:r>
      <w:r>
        <w:rPr>
          <w:rFonts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 xml:space="preserve">para, querendo, apresentar defesa no prazo de 05 (cinco) dias, nos termos do art. 22, I, "a", da Lei Complementar n.º 64/90, prosseguindo-se no rito estabelecido nesse artigo;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c)</w:t>
      </w:r>
      <w:r>
        <w:rPr>
          <w:rFonts w:cs="Cambria" w:ascii="Cambria" w:hAnsi="Cambria"/>
          <w:sz w:val="24"/>
          <w:szCs w:val="24"/>
        </w:rPr>
        <w:t xml:space="preserve"> em caráter de </w:t>
      </w:r>
      <w:r>
        <w:rPr>
          <w:rFonts w:cs="Cambria" w:ascii="Cambria" w:hAnsi="Cambria"/>
          <w:b/>
          <w:bCs/>
          <w:sz w:val="24"/>
          <w:szCs w:val="24"/>
        </w:rPr>
        <w:t xml:space="preserve">URGÊNCIA, a concessão de tutela antecipada, </w:t>
      </w:r>
      <w:r>
        <w:rPr>
          <w:rFonts w:cs="Cambria" w:ascii="Cambria" w:hAnsi="Cambria"/>
          <w:iCs/>
          <w:sz w:val="24"/>
          <w:szCs w:val="24"/>
        </w:rPr>
        <w:t>em face da verossimilhança (probabilidade do direito) das alegações acima e do fundado receio de dano irreparável ou de difícil reparação,</w:t>
      </w:r>
      <w:r>
        <w:rPr>
          <w:rFonts w:cs="Cambria" w:ascii="Cambria" w:hAnsi="Cambria"/>
          <w:sz w:val="24"/>
          <w:szCs w:val="24"/>
        </w:rPr>
        <w:t xml:space="preserve"> a fim de </w:t>
      </w:r>
      <w:r>
        <w:rPr>
          <w:rFonts w:cs="Cambria" w:ascii="Cambria" w:hAnsi="Cambria"/>
          <w:i/>
          <w:iCs/>
          <w:sz w:val="24"/>
          <w:szCs w:val="24"/>
        </w:rPr>
        <w:t>“</w:t>
      </w:r>
      <w:r>
        <w:rPr>
          <w:rFonts w:cs="Cambria" w:ascii="Cambria" w:hAnsi="Cambria"/>
          <w:b/>
          <w:bCs/>
          <w:i/>
          <w:iCs/>
          <w:caps/>
          <w:sz w:val="24"/>
          <w:szCs w:val="24"/>
        </w:rPr>
        <w:t>tornar sem efeito”</w:t>
      </w:r>
      <w:r>
        <w:rPr>
          <w:rFonts w:cs="Cambria" w:ascii="Cambria" w:hAnsi="Cambria"/>
          <w:b/>
          <w:bCs/>
          <w:sz w:val="24"/>
          <w:szCs w:val="24"/>
        </w:rPr>
        <w:t xml:space="preserve"> a demissão/exoneração de todos os servidores realizadas durante o período vedado, ou seja, suspendendo imediatamente a conduta vedada (Conf. § 4º do artigo 73 da Lei 9.504/97);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Quanto ao mencionado pedido, assim já decidiu o </w:t>
      </w:r>
      <w:r>
        <w:rPr>
          <w:rFonts w:cs="Cambria" w:ascii="Cambria" w:hAnsi="Cambria"/>
          <w:b/>
          <w:bCs/>
          <w:sz w:val="24"/>
          <w:szCs w:val="24"/>
        </w:rPr>
        <w:t>TRE - MG</w:t>
      </w:r>
      <w:r>
        <w:rPr>
          <w:rFonts w:cs="Cambria" w:ascii="Cambria" w:hAnsi="Cambria"/>
          <w:sz w:val="24"/>
          <w:szCs w:val="24"/>
        </w:rPr>
        <w:t xml:space="preserve">: </w:t>
      </w:r>
      <w:r>
        <w:rPr>
          <w:rFonts w:cs="Cambria" w:ascii="Cambria" w:hAnsi="Cambria"/>
          <w:b/>
          <w:bCs/>
          <w:i/>
          <w:iCs/>
          <w:sz w:val="24"/>
          <w:szCs w:val="24"/>
        </w:rPr>
        <w:t>(…) O ato de tornar sem efeito uma demissão traz como consequência imediata a volta dos funcionários aos quadros da Administração, sem que, contudo, seja necessário o ato da readmissão,</w:t>
      </w:r>
      <w:r>
        <w:rPr>
          <w:rFonts w:cs="Cambria" w:ascii="Cambria" w:hAnsi="Cambria"/>
          <w:i/>
          <w:iCs/>
          <w:sz w:val="24"/>
          <w:szCs w:val="24"/>
        </w:rPr>
        <w:t xml:space="preserve"> uma vez que não houve, propriamente, uma demissão. (…)</w:t>
      </w:r>
      <w:r>
        <w:rPr>
          <w:rFonts w:cs="Cambria" w:ascii="Cambria" w:hAnsi="Cambria"/>
          <w:sz w:val="24"/>
          <w:szCs w:val="24"/>
        </w:rPr>
        <w:t xml:space="preserve"> (RECURSO ELEITORAL nº 6020, Acórdão nº 410 de 05/02/2009, Relator(a) ANTÔNIO ROMANELLI, Publicação: DJEMG - Diário de Justiça Eletrônico-TREMG, Data 12/03/2009).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d)</w:t>
      </w:r>
      <w:r>
        <w:rPr>
          <w:rFonts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u w:val="single"/>
        </w:rPr>
        <w:t xml:space="preserve">em caso de descumprimento da ordem liminar, a aplicação de multa equivalente a 10 (dez) salários-mínimos por dia de atraso para CADA </w:t>
      </w:r>
      <w:r>
        <w:rPr>
          <w:rFonts w:cs="Cambria" w:ascii="Cambria" w:hAnsi="Cambria"/>
          <w:b/>
          <w:bCs/>
          <w:caps/>
          <w:sz w:val="24"/>
          <w:szCs w:val="24"/>
          <w:u w:val="single"/>
        </w:rPr>
        <w:t>servidor</w:t>
      </w:r>
      <w:r>
        <w:rPr>
          <w:rFonts w:cs="Cambria" w:ascii="Cambria" w:hAnsi="Cambria"/>
          <w:b/>
          <w:bCs/>
          <w:sz w:val="24"/>
          <w:szCs w:val="24"/>
          <w:u w:val="single"/>
        </w:rPr>
        <w:t xml:space="preserve"> demitido/exonerado e que não retornar imediatamente ao trabalho</w:t>
      </w:r>
      <w:r>
        <w:rPr>
          <w:rFonts w:cs="Cambria" w:ascii="Cambria" w:hAnsi="Cambria"/>
          <w:sz w:val="24"/>
          <w:szCs w:val="24"/>
        </w:rPr>
        <w:t>, a qual deverá ser destinada ao Fundo Estadual de Defesa dos Direitos Difusos (art. 11 da Lei nº 7.347/1985);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eastAsia="Verdana" w:cs="Cambria" w:ascii="Cambria" w:hAnsi="Cambria"/>
          <w:b/>
          <w:bCs/>
          <w:color w:val="000000"/>
          <w:sz w:val="24"/>
          <w:szCs w:val="24"/>
        </w:rPr>
        <w:t>e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)</w:t>
      </w:r>
      <w:r>
        <w:rPr>
          <w:rFonts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incidência no crime tipificado no artigo 347 do Código Eleitoral,</w:t>
      </w:r>
      <w:r>
        <w:rPr>
          <w:rFonts w:cs="Cambria" w:ascii="Cambria" w:hAnsi="Cambria"/>
          <w:color w:val="000000"/>
          <w:sz w:val="24"/>
          <w:szCs w:val="24"/>
        </w:rPr>
        <w:t xml:space="preserve"> desobediência eleitoral, em caso de repetição da conduta mencionada na alínea anterior;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f)</w:t>
      </w:r>
      <w:r>
        <w:rPr>
          <w:rFonts w:cs="Cambria" w:ascii="Cambria" w:hAnsi="Cambria"/>
          <w:color w:val="000000"/>
          <w:sz w:val="24"/>
          <w:szCs w:val="24"/>
        </w:rPr>
        <w:t xml:space="preserve"> estando a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matéria fática provada por documentos, </w:t>
      </w:r>
      <w:r>
        <w:rPr>
          <w:rFonts w:cs="Cambria" w:ascii="Cambria" w:hAnsi="Cambria"/>
          <w:color w:val="000000"/>
          <w:sz w:val="24"/>
          <w:szCs w:val="24"/>
        </w:rPr>
        <w:t xml:space="preserve">sem necessidade de dilação probatória, </w:t>
      </w:r>
      <w:r>
        <w:rPr>
          <w:rFonts w:cs="Cambria" w:ascii="Cambria" w:hAnsi="Cambria"/>
          <w:b/>
          <w:bCs/>
          <w:i/>
          <w:iCs/>
          <w:color w:val="000000"/>
          <w:sz w:val="24"/>
          <w:szCs w:val="24"/>
        </w:rPr>
        <w:t>seja julgada procedente a presente representação de forma antecipada,</w:t>
      </w:r>
      <w:r>
        <w:rPr>
          <w:rFonts w:cs="Cambria" w:ascii="Cambria" w:hAnsi="Cambria"/>
          <w:color w:val="000000"/>
          <w:sz w:val="24"/>
          <w:szCs w:val="24"/>
        </w:rPr>
        <w:t xml:space="preserve"> conforme </w:t>
      </w:r>
      <w:r>
        <w:rPr>
          <w:rFonts w:eastAsia="Times New Roman" w:cs="Cambria" w:ascii="Cambria" w:hAnsi="Cambria"/>
          <w:color w:val="000000"/>
          <w:sz w:val="24"/>
          <w:szCs w:val="24"/>
          <w:lang w:val="pt-BR"/>
        </w:rPr>
        <w:t>com esteio no art. 355, incisos I e II, do Código de Processo Civil;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g)</w:t>
      </w:r>
      <w:r>
        <w:rPr>
          <w:rFonts w:cs="Cambria" w:ascii="Cambria" w:hAnsi="Cambria"/>
          <w:sz w:val="24"/>
          <w:szCs w:val="24"/>
        </w:rPr>
        <w:t xml:space="preserve"> seja, ao final, julgado procedente o pedido, para que seja confirmada a antecipação dos efeitos da tutela e reconhecida a prática de </w:t>
      </w:r>
      <w:r>
        <w:rPr>
          <w:rFonts w:cs="Cambria" w:ascii="Cambria" w:hAnsi="Cambria"/>
          <w:b/>
          <w:bCs/>
          <w:sz w:val="24"/>
          <w:szCs w:val="24"/>
        </w:rPr>
        <w:t>atos de conduta vedada</w:t>
      </w:r>
      <w:r>
        <w:rPr>
          <w:rFonts w:cs="Cambria" w:ascii="Cambria" w:hAnsi="Cambria"/>
          <w:sz w:val="24"/>
          <w:szCs w:val="24"/>
        </w:rPr>
        <w:t>, com a aplicação da sanção prevista nos § 4º do artigo 73 da Lei 9.504/97;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Por fim, caso de Vossa Excelência entender necessária a produção de provas, protesta o Ministério Público Eleitoral por todos os meios em direito admitidos, com o fim de fazer prevalecer a verdade real dos fatos, principalmente a oitiva de todas as pessoas ouvidas pelo órgão de execução ministerial e devidamente qualificadas conforme “Termos de Declarações” que seguem anexados (Doc. 02).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rPr/>
      </w:pPr>
      <w:r>
        <w:rPr>
          <w:rStyle w:val="Caracteresdenotaderodap"/>
        </w:rPr>
        <w:footnoteRef/>
      </w:r>
      <w:r>
        <w:rPr>
          <w:rFonts w:eastAsia="Arial"/>
        </w:rPr>
        <w:tab/>
        <w:t xml:space="preserve"> </w:t>
      </w:r>
      <w:r>
        <w:rPr>
          <w:i/>
          <w:sz w:val="16"/>
        </w:rPr>
        <w:t>Lei Eleitoral Comentada</w:t>
      </w:r>
      <w:r>
        <w:rPr>
          <w:sz w:val="16"/>
        </w:rPr>
        <w:t>, Editora Quarter Latin, p. 413 – g.n.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ecuodecorpodetexto21">
    <w:name w:val="Recuo de corpo de texto 21"/>
    <w:basedOn w:val="Normal"/>
    <w:qFormat/>
    <w:pPr>
      <w:spacing w:lineRule="auto" w:line="360"/>
      <w:ind w:left="1701" w:right="0" w:hanging="0"/>
      <w:jc w:val="both"/>
    </w:pPr>
    <w:rPr>
      <w:sz w:val="22"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>
      <w:rFonts w:ascii="Times New Roman" w:hAnsi="Times New Roman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11</Pages>
  <Words>3203</Words>
  <Characters>18063</Characters>
  <CharactersWithSpaces>21198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2023-06-09T07:08:41Z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