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EXCELENTÍSSIMO SENHOR JUIZ DA _______ZONA ELEITORAL DO TOCANTINS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color w:val="C9211E"/>
          <w:sz w:val="24"/>
          <w:szCs w:val="24"/>
        </w:rPr>
      </w:pPr>
      <w:r>
        <w:rPr>
          <w:rFonts w:ascii="Cambria" w:hAnsi="Cambria"/>
          <w:color w:val="C9211E"/>
          <w:sz w:val="24"/>
          <w:szCs w:val="24"/>
        </w:rPr>
        <w:t>MPCE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Cs w:val="24"/>
        </w:rPr>
      </w:pPr>
      <w:r>
        <w:rPr>
          <w:rFonts w:cs="Arial" w:ascii="Cambria" w:hAnsi="Cambria"/>
          <w:b/>
          <w:bCs/>
          <w:color w:val="000000"/>
          <w:szCs w:val="24"/>
        </w:rPr>
        <w:t>RRC nº</w:t>
      </w:r>
    </w:p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Cs w:val="24"/>
        </w:rPr>
      </w:pPr>
      <w:r>
        <w:rPr>
          <w:rFonts w:cs="Arial" w:ascii="Cambria" w:hAnsi="Cambria"/>
          <w:b/>
          <w:bCs/>
          <w:color w:val="000000"/>
          <w:szCs w:val="24"/>
        </w:rPr>
        <w:t>Impugnante</w:t>
      </w:r>
      <w:r>
        <w:rPr>
          <w:rFonts w:cs="Arial" w:ascii="Cambria" w:hAnsi="Cambria"/>
          <w:b/>
          <w:bCs/>
          <w:color w:val="000000"/>
          <w:szCs w:val="24"/>
        </w:rPr>
        <w:t xml:space="preserve">: </w:t>
      </w:r>
      <w:r>
        <w:rPr>
          <w:rFonts w:cs="Arial" w:ascii="Cambria" w:hAnsi="Cambria"/>
          <w:b/>
          <w:bCs/>
          <w:color w:val="000000"/>
          <w:szCs w:val="24"/>
        </w:rPr>
        <w:t>Ministério Público Eleitoral</w:t>
      </w:r>
    </w:p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Cs w:val="24"/>
        </w:rPr>
      </w:pPr>
      <w:r>
        <w:rPr>
          <w:rFonts w:cs="Arial" w:ascii="Cambria" w:hAnsi="Cambria"/>
          <w:b/>
          <w:bCs/>
          <w:color w:val="000000"/>
          <w:szCs w:val="24"/>
        </w:rPr>
        <w:t>I</w:t>
      </w:r>
      <w:r>
        <w:rPr>
          <w:rFonts w:cs="Arial" w:ascii="Cambria" w:hAnsi="Cambria"/>
          <w:b/>
          <w:bCs/>
          <w:color w:val="000000"/>
          <w:szCs w:val="24"/>
        </w:rPr>
        <w:t>mpugnado(a):</w:t>
      </w:r>
    </w:p>
    <w:p>
      <w:pPr>
        <w:pStyle w:val="Normal"/>
        <w:spacing w:lineRule="auto" w:line="360"/>
        <w:jc w:val="both"/>
        <w:rPr>
          <w:rFonts w:ascii="Cambria" w:hAnsi="Cambria" w:eastAsia="Arial" w:cs="Arial"/>
          <w:b/>
          <w:b/>
          <w:bCs/>
          <w:color w:val="000000"/>
          <w:szCs w:val="24"/>
        </w:rPr>
      </w:pPr>
      <w:r>
        <w:rPr>
          <w:rFonts w:eastAsia="Arial" w:cs="Arial" w:ascii="Cambria" w:hAnsi="Cambria"/>
          <w:b/>
          <w:bCs/>
          <w:color w:val="000000"/>
          <w:szCs w:val="24"/>
        </w:rPr>
        <w:t xml:space="preserve"> </w:t>
      </w:r>
    </w:p>
    <w:p>
      <w:pPr>
        <w:pStyle w:val="Normal"/>
        <w:spacing w:lineRule="auto" w:line="360"/>
        <w:jc w:val="both"/>
        <w:rPr>
          <w:rFonts w:ascii="Cambria" w:hAnsi="Cambria" w:eastAsia="Arial" w:cs="Arial"/>
          <w:b/>
          <w:b/>
          <w:bCs/>
          <w:color w:val="000000"/>
          <w:szCs w:val="24"/>
        </w:rPr>
      </w:pPr>
      <w:r>
        <w:rPr>
          <w:rFonts w:eastAsia="Arial" w:cs="Arial" w:ascii="Cambria" w:hAnsi="Cambria"/>
          <w:b/>
          <w:bCs/>
          <w:color w:val="000000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eastAsia="Arial" w:cs="Arial"/>
          <w:b/>
          <w:b/>
          <w:bCs/>
          <w:color w:val="000000"/>
          <w:szCs w:val="24"/>
        </w:rPr>
      </w:pPr>
      <w:r>
        <w:rPr>
          <w:rFonts w:eastAsia="Arial" w:cs="Arial" w:ascii="Cambria" w:hAnsi="Cambria"/>
          <w:b/>
          <w:bCs/>
          <w:color w:val="000000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</w:rPr>
        <w:t xml:space="preserve">O </w:t>
      </w:r>
      <w:r>
        <w:rPr>
          <w:rFonts w:cs="Cambria" w:ascii="Cambria" w:hAnsi="Cambria"/>
          <w:b/>
          <w:sz w:val="24"/>
          <w:szCs w:val="24"/>
        </w:rPr>
        <w:t>MINISTÉRIO PÚBLICO ELEITORAL</w:t>
      </w:r>
      <w:r>
        <w:rPr>
          <w:rFonts w:cs="Cambria" w:ascii="Cambria" w:hAnsi="Cambria"/>
          <w:sz w:val="24"/>
          <w:szCs w:val="24"/>
        </w:rPr>
        <w:t xml:space="preserve">, por seu agente firmatário, vem, à presença de Vossa Excelência, nos termos do art. 3º da Lei Complementar nº 64/90, propor a presente </w:t>
      </w:r>
      <w:r>
        <w:rPr>
          <w:rFonts w:cs="Cambria" w:ascii="Cambria" w:hAnsi="Cambria"/>
          <w:b/>
          <w:sz w:val="24"/>
          <w:szCs w:val="24"/>
        </w:rPr>
        <w:t xml:space="preserve">AÇÃO DE IMPUGNAÇÃO DE REGISTRO DE CANDIDATO </w:t>
      </w:r>
      <w:r>
        <w:rPr>
          <w:rFonts w:cs="Cambria" w:ascii="Cambria" w:hAnsi="Cambria"/>
          <w:sz w:val="24"/>
          <w:szCs w:val="24"/>
        </w:rPr>
        <w:t>contra ..., devidamente qualificado nos autos do pedido de registro, pelos fatos e fundamentos que passa a expor: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701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 xml:space="preserve">O Partido XXXX encaminhou o pedido registro de candidatura do impugnado, protocolado sob o nº XXXX, ao cargo de (Prefeito Municipal/Vice-Prefeito Municipal/Vereador). 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</w:rPr>
        <w:t xml:space="preserve">Contudo, resta impossível o deferimento do registro de candidatura do impugnado, tendo em vista que ele se enquadra na hipótese prevista no art. 1º, I, </w:t>
      </w:r>
      <w:r>
        <w:rPr>
          <w:rFonts w:cs="Cambria" w:ascii="Cambria" w:hAnsi="Cambria"/>
          <w:i/>
          <w:iCs/>
          <w:sz w:val="24"/>
          <w:szCs w:val="24"/>
        </w:rPr>
        <w:t>e</w:t>
      </w:r>
      <w:r>
        <w:rPr>
          <w:rFonts w:cs="Cambria" w:ascii="Cambria" w:hAnsi="Cambria"/>
          <w:sz w:val="24"/>
          <w:szCs w:val="24"/>
        </w:rPr>
        <w:t>, da Lei Complementar n. 64/90, com redação dada pela Lei Complementar nº 135/2010, segundo o qual são inelegíveis “</w:t>
      </w:r>
      <w:r>
        <w:rPr>
          <w:rFonts w:cs="Cambria" w:ascii="Cambria" w:hAnsi="Cambria"/>
          <w:i/>
          <w:iCs/>
          <w:color w:val="000000"/>
          <w:sz w:val="24"/>
          <w:szCs w:val="24"/>
        </w:rPr>
        <w:t>os que forem condenados, em decisão transitada em julgado ou proferida por órgão judicial colegiado, desde a condenação até o transcurso do prazo de 8 (oito) anos após o cumprimento da pena, pelos crimes (TRANSCREVER APENAS O ITEM CORRESPONDENTE AO CRIME APONTADO)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</w:rPr>
        <w:t xml:space="preserve">No caso dos autos, o impugnado, conforme se observa da documentação anexa, </w:t>
      </w:r>
      <w:r>
        <w:rPr>
          <w:rFonts w:cs="Cambria" w:ascii="Cambria" w:hAnsi="Cambria"/>
          <w:color w:val="000000"/>
          <w:sz w:val="24"/>
          <w:szCs w:val="24"/>
        </w:rPr>
        <w:t>foi definitivamente condenado pela 1ª Câmara Criminal do Tribunal de Justiça do Estado do Tocantins, em XX/XX/XXXX, por incurso nas sanções do artigo 157 do Código Penal, à pena de 4 (quatro) anos de reclusão. Conforme consta da decisão, o impugnado (NARRAR SINTETICAMENTE O FATO – processo nº XXXXXXXXXXXXXXXX).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</w:rPr>
        <w:t xml:space="preserve">A aludida condenação criminal transitou em julgado em XX/XX/XXXX e, consoante informações colacionadas nos autos, a pena foi integralmente cumprida pelo requerido em XX/XX/XXXX. 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701"/>
        <w:jc w:val="both"/>
        <w:rPr/>
      </w:pPr>
      <w:r>
        <w:rPr>
          <w:rFonts w:cs="Cambria" w:ascii="Cambria" w:hAnsi="Cambria"/>
          <w:color w:val="000000"/>
          <w:sz w:val="24"/>
          <w:szCs w:val="24"/>
        </w:rPr>
        <w:t>Consoante estabelece o art. 1º, inciso I, alínea “</w:t>
      </w:r>
      <w:r>
        <w:rPr>
          <w:rFonts w:cs="Cambria" w:ascii="Cambria" w:hAnsi="Cambria"/>
          <w:i/>
          <w:color w:val="000000"/>
          <w:sz w:val="24"/>
          <w:szCs w:val="24"/>
        </w:rPr>
        <w:t>e”</w:t>
      </w:r>
      <w:r>
        <w:rPr>
          <w:rFonts w:cs="Cambria" w:ascii="Cambria" w:hAnsi="Cambria"/>
          <w:color w:val="000000"/>
          <w:sz w:val="24"/>
          <w:szCs w:val="24"/>
        </w:rPr>
        <w:t xml:space="preserve">, da LC nº 64/90, a condenação definitiva por crime indicado no rol respectivo, dentre os quais os delitos contra o patrimônio gera a inelegibilidade, desde a condenação por órgão colegiado </w:t>
      </w:r>
      <w:r>
        <w:rPr>
          <w:rFonts w:cs="Cambria" w:ascii="Cambria" w:hAnsi="Cambria"/>
          <w:i/>
          <w:color w:val="000000"/>
          <w:sz w:val="24"/>
          <w:szCs w:val="24"/>
        </w:rPr>
        <w:t>“até o transcurso do prazo de oito anos após o cumprimento da pena”</w:t>
      </w:r>
      <w:r>
        <w:rPr>
          <w:rFonts w:cs="Cambria" w:ascii="Cambria" w:hAnsi="Cambria"/>
          <w:color w:val="000000"/>
          <w:sz w:val="24"/>
          <w:szCs w:val="24"/>
        </w:rPr>
        <w:t xml:space="preserve">. 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701"/>
        <w:jc w:val="both"/>
        <w:rPr>
          <w:rFonts w:ascii="Cambria" w:hAnsi="Cambria" w:cs="Cambria"/>
          <w:color w:val="000000"/>
          <w:sz w:val="24"/>
          <w:szCs w:val="24"/>
        </w:rPr>
      </w:pPr>
      <w:r>
        <w:rPr>
          <w:rFonts w:cs="Cambria" w:ascii="Cambria" w:hAnsi="Cambria"/>
          <w:color w:val="000000"/>
          <w:sz w:val="24"/>
          <w:szCs w:val="24"/>
        </w:rPr>
        <w:t>Neste sentido, tem decidido o e. TSE:</w:t>
      </w:r>
    </w:p>
    <w:p>
      <w:pPr>
        <w:pStyle w:val="NormalWeb"/>
        <w:widowControl/>
        <w:suppressAutoHyphens w:val="true"/>
        <w:bidi w:val="0"/>
        <w:spacing w:lineRule="auto" w:line="276" w:before="100" w:after="100"/>
        <w:ind w:left="2268" w:right="0" w:hanging="0"/>
        <w:jc w:val="both"/>
        <w:rPr>
          <w:rFonts w:ascii="Cambria" w:hAnsi="Cambria" w:cs="Cambria"/>
          <w:i w:val="false"/>
          <w:i w:val="false"/>
          <w:iCs w:val="false"/>
          <w:sz w:val="22"/>
          <w:szCs w:val="22"/>
        </w:rPr>
      </w:pPr>
      <w:r>
        <w:rPr>
          <w:rFonts w:cs="Cambria" w:ascii="Cambria" w:hAnsi="Cambria"/>
          <w:i w:val="false"/>
          <w:iCs w:val="false"/>
          <w:sz w:val="22"/>
          <w:szCs w:val="22"/>
        </w:rPr>
        <w:t xml:space="preserve">AGRAVO REGIMENTAL NO RECURSO ORDINÁRIO. CONDENAÇÃO PELA PRÁTICA DO CRIME DE ROUBO MAJORADO. ART. 157, § 2º, DO CÓDIGO PENAL. INCIDÊNCIA DA INELEGIBILIDADE PREVISTA NO ART. 1º, I, E, 2, DA LC Nº 64/90. </w:t>
      </w:r>
    </w:p>
    <w:p>
      <w:pPr>
        <w:pStyle w:val="NormalWeb"/>
        <w:widowControl/>
        <w:suppressAutoHyphens w:val="true"/>
        <w:bidi w:val="0"/>
        <w:spacing w:lineRule="auto" w:line="276" w:before="100" w:after="100"/>
        <w:ind w:left="2268" w:right="0" w:hanging="0"/>
        <w:jc w:val="both"/>
        <w:rPr>
          <w:rFonts w:ascii="Cambria" w:hAnsi="Cambria" w:cs="Cambria"/>
          <w:i w:val="false"/>
          <w:i w:val="false"/>
          <w:iCs w:val="false"/>
          <w:sz w:val="22"/>
          <w:szCs w:val="22"/>
        </w:rPr>
      </w:pPr>
      <w:r>
        <w:rPr>
          <w:rFonts w:cs="Cambria" w:ascii="Cambria" w:hAnsi="Cambria"/>
          <w:i w:val="false"/>
          <w:iCs w:val="false"/>
          <w:sz w:val="22"/>
          <w:szCs w:val="22"/>
        </w:rPr>
        <w:t>1. A condenação por órgão colegiado pela prática do delito tipificado no art. 157 do CP - inserto no Título II (Crimes contra o patrimônio) do mencionado Diploma Normativo - gera inelegibilidade, uma vez que o aludido crime consta da lista veiculada no art. 1º, I, e, da LC nº 64/90.</w:t>
      </w:r>
    </w:p>
    <w:p>
      <w:pPr>
        <w:pStyle w:val="NormalWeb"/>
        <w:widowControl/>
        <w:suppressAutoHyphens w:val="true"/>
        <w:bidi w:val="0"/>
        <w:spacing w:lineRule="auto" w:line="276" w:before="100" w:after="100"/>
        <w:ind w:left="2211" w:right="0" w:hanging="0"/>
        <w:jc w:val="both"/>
        <w:rPr>
          <w:rFonts w:ascii="Cambria" w:hAnsi="Cambria" w:cs="Cambria"/>
          <w:i w:val="false"/>
          <w:i w:val="false"/>
          <w:iCs w:val="false"/>
          <w:sz w:val="22"/>
          <w:szCs w:val="22"/>
        </w:rPr>
      </w:pPr>
      <w:r>
        <w:rPr>
          <w:rFonts w:cs="Cambria" w:ascii="Cambria" w:hAnsi="Cambria"/>
          <w:i w:val="false"/>
          <w:iCs w:val="false"/>
          <w:sz w:val="22"/>
          <w:szCs w:val="22"/>
        </w:rPr>
        <w:t>2. In casu, o ora Agravante foi condenado pela prática de roubo majorado (art. 157, § 2º, do CP), tendo a sentença transitado em julgado em 2.6.2006 e o referido impedimento cessado em 17.11.2008, consoante o acórdão da Corte de origem.</w:t>
      </w:r>
    </w:p>
    <w:p>
      <w:pPr>
        <w:pStyle w:val="NormalWeb"/>
        <w:widowControl/>
        <w:suppressAutoHyphens w:val="true"/>
        <w:bidi w:val="0"/>
        <w:spacing w:lineRule="auto" w:line="276" w:before="100" w:after="100"/>
        <w:ind w:left="2268" w:right="0" w:hanging="0"/>
        <w:jc w:val="both"/>
        <w:rPr/>
      </w:pPr>
      <w:r>
        <w:rPr>
          <w:rFonts w:cs="Cambria" w:ascii="Cambria" w:hAnsi="Cambria"/>
          <w:i w:val="false"/>
          <w:iCs w:val="false"/>
          <w:sz w:val="22"/>
          <w:szCs w:val="22"/>
        </w:rPr>
        <w:t xml:space="preserve">3. </w:t>
      </w:r>
      <w:r>
        <w:rPr>
          <w:rFonts w:cs="Cambria" w:ascii="Cambria" w:hAnsi="Cambria"/>
          <w:b/>
          <w:i w:val="false"/>
          <w:iCs w:val="false"/>
          <w:sz w:val="22"/>
          <w:szCs w:val="22"/>
          <w:u w:val="single"/>
        </w:rPr>
        <w:t>O prazo concernente à hipótese de inelegibilidade prevista na mencionada alínea e, nos termos do decidido pelo Supremo na Ação Declaratória de Constitucionalidade nº 29, projeta-se por oito anos após o cumprimento da pena</w:t>
      </w:r>
      <w:r>
        <w:rPr>
          <w:rFonts w:cs="Cambria" w:ascii="Cambria" w:hAnsi="Cambria"/>
          <w:i w:val="false"/>
          <w:iCs w:val="false"/>
          <w:sz w:val="22"/>
          <w:szCs w:val="22"/>
        </w:rPr>
        <w:t xml:space="preserve">. </w:t>
      </w:r>
    </w:p>
    <w:p>
      <w:pPr>
        <w:pStyle w:val="Itens"/>
        <w:widowControl/>
        <w:suppressAutoHyphens w:val="true"/>
        <w:bidi w:val="0"/>
        <w:spacing w:lineRule="auto" w:line="276" w:before="100" w:after="100"/>
        <w:ind w:left="2268" w:right="0" w:hanging="0"/>
        <w:jc w:val="both"/>
        <w:rPr>
          <w:rFonts w:ascii="Cambria" w:hAnsi="Cambria" w:cs="Cambria"/>
          <w:i w:val="false"/>
          <w:i w:val="false"/>
          <w:iCs w:val="false"/>
          <w:sz w:val="22"/>
          <w:szCs w:val="22"/>
        </w:rPr>
      </w:pPr>
      <w:r>
        <w:rPr>
          <w:rFonts w:cs="Cambria" w:ascii="Cambria" w:hAnsi="Cambria"/>
          <w:i w:val="false"/>
          <w:iCs w:val="false"/>
          <w:sz w:val="22"/>
          <w:szCs w:val="22"/>
        </w:rPr>
        <w:t xml:space="preserve">(TSE – Agravo Regimental em Recurso Ordinário nº 80880 – Rel. Min. Luiz Fux – Acórdão de 02/10/2014) </w:t>
      </w:r>
    </w:p>
    <w:p>
      <w:pPr>
        <w:pStyle w:val="Normal"/>
        <w:tabs>
          <w:tab w:val="clear" w:pos="708"/>
          <w:tab w:val="left" w:pos="2268" w:leader="none"/>
        </w:tabs>
        <w:spacing w:lineRule="auto" w:line="360"/>
        <w:jc w:val="both"/>
        <w:rPr>
          <w:rFonts w:ascii="Cambria" w:hAnsi="Cambria" w:cs="Cambria"/>
          <w:i/>
          <w:i/>
          <w:color w:val="000000"/>
          <w:sz w:val="24"/>
          <w:szCs w:val="24"/>
        </w:rPr>
      </w:pPr>
      <w:r>
        <w:rPr>
          <w:rFonts w:cs="Cambria" w:ascii="Cambria" w:hAnsi="Cambria"/>
          <w:i/>
          <w:color w:val="000000"/>
          <w:sz w:val="24"/>
          <w:szCs w:val="24"/>
        </w:rPr>
      </w:r>
    </w:p>
    <w:p>
      <w:pPr>
        <w:pStyle w:val="Normal"/>
        <w:widowControl/>
        <w:tabs>
          <w:tab w:val="clear" w:pos="708"/>
          <w:tab w:val="left" w:pos="2268" w:leader="none"/>
        </w:tabs>
        <w:suppressAutoHyphens w:val="true"/>
        <w:bidi w:val="0"/>
        <w:spacing w:lineRule="auto" w:line="360"/>
        <w:ind w:left="0" w:right="0" w:firstLine="1701"/>
        <w:jc w:val="both"/>
        <w:rPr>
          <w:rFonts w:ascii="Cambria" w:hAnsi="Cambria" w:cs="Cambria"/>
          <w:color w:val="000000"/>
          <w:sz w:val="24"/>
          <w:szCs w:val="24"/>
        </w:rPr>
      </w:pPr>
      <w:r>
        <w:rPr>
          <w:rFonts w:cs="Cambria" w:ascii="Cambria" w:hAnsi="Cambria"/>
          <w:color w:val="000000"/>
          <w:sz w:val="24"/>
          <w:szCs w:val="24"/>
        </w:rPr>
        <w:t xml:space="preserve">Sobre o assunto, Rodrigo López Zilio leciona que: </w:t>
      </w:r>
    </w:p>
    <w:p>
      <w:pPr>
        <w:pStyle w:val="Normal"/>
        <w:tabs>
          <w:tab w:val="clear" w:pos="708"/>
          <w:tab w:val="left" w:pos="2268" w:leader="none"/>
        </w:tabs>
        <w:spacing w:lineRule="auto" w:line="360"/>
        <w:ind w:left="0" w:right="0" w:firstLine="2268"/>
        <w:jc w:val="both"/>
        <w:rPr>
          <w:rFonts w:ascii="Cambria" w:hAnsi="Cambria" w:cs="Cambria"/>
          <w:color w:val="000000"/>
          <w:sz w:val="24"/>
          <w:szCs w:val="24"/>
        </w:rPr>
      </w:pPr>
      <w:r>
        <w:rPr>
          <w:rFonts w:cs="Cambria" w:ascii="Cambria" w:hAnsi="Cambria"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2268" w:leader="none"/>
        </w:tabs>
        <w:spacing w:lineRule="auto" w:line="360"/>
        <w:ind w:left="2268" w:right="0" w:hanging="0"/>
        <w:jc w:val="both"/>
        <w:rPr/>
      </w:pPr>
      <w:r>
        <w:rPr>
          <w:rFonts w:cs="Cambria" w:ascii="Cambria" w:hAnsi="Cambria"/>
          <w:color w:val="000000"/>
          <w:sz w:val="22"/>
          <w:szCs w:val="22"/>
        </w:rPr>
        <w:t xml:space="preserve">A inelegibilidade decorrente de condenação criminal prevista na alínea </w:t>
      </w:r>
      <w:r>
        <w:rPr>
          <w:rFonts w:cs="Cambria" w:ascii="Cambria" w:hAnsi="Cambria"/>
          <w:b/>
          <w:i/>
          <w:color w:val="000000"/>
          <w:sz w:val="22"/>
          <w:szCs w:val="22"/>
        </w:rPr>
        <w:t>e</w:t>
      </w:r>
      <w:r>
        <w:rPr>
          <w:rFonts w:cs="Cambria" w:ascii="Cambria" w:hAnsi="Cambria"/>
          <w:color w:val="000000"/>
          <w:sz w:val="22"/>
          <w:szCs w:val="22"/>
        </w:rPr>
        <w:t xml:space="preserve"> sofreu sensível modificação a partir da LC 135/2010. Nesse sentido, reconhece-se a inelegiibildade quando houver condenação criminal transitada em julgado ou proferida por órgão colegiado relativamente aos crimes especificamente arrolados no dispositivo em comento. Assim, deverá ser reconhecida a inelegibilidade sempre que o Tribunal (</w:t>
      </w:r>
      <w:r>
        <w:rPr>
          <w:rFonts w:cs="Cambria" w:ascii="Cambria" w:hAnsi="Cambria"/>
          <w:i/>
          <w:color w:val="000000"/>
          <w:sz w:val="22"/>
          <w:szCs w:val="22"/>
        </w:rPr>
        <w:t>v.g</w:t>
      </w:r>
      <w:r>
        <w:rPr>
          <w:rFonts w:cs="Cambria" w:ascii="Cambria" w:hAnsi="Cambria"/>
          <w:color w:val="000000"/>
          <w:sz w:val="22"/>
          <w:szCs w:val="22"/>
        </w:rPr>
        <w:t xml:space="preserve">. TJ, TER, TRF, STJ, STF), qualquer que seja a fração (Câmara, Turma, Seção, etc) ou, quando for o caso, o Pleno, proferir – em grau originário ou recursal – provimento condenatório por um dos crimes especificamente arrolados na alínea </w:t>
      </w:r>
      <w:r>
        <w:rPr>
          <w:rFonts w:cs="Cambria" w:ascii="Cambria" w:hAnsi="Cambria"/>
          <w:i/>
          <w:color w:val="000000"/>
          <w:sz w:val="22"/>
          <w:szCs w:val="22"/>
        </w:rPr>
        <w:t>e</w:t>
      </w:r>
      <w:r>
        <w:rPr>
          <w:rFonts w:cs="Cambria" w:ascii="Cambria" w:hAnsi="Cambria"/>
          <w:color w:val="000000"/>
          <w:sz w:val="22"/>
          <w:szCs w:val="22"/>
        </w:rPr>
        <w:t>. (</w:t>
      </w:r>
      <w:r>
        <w:rPr>
          <w:rFonts w:cs="Cambria" w:ascii="Cambria" w:hAnsi="Cambria"/>
          <w:i/>
          <w:color w:val="000000"/>
          <w:sz w:val="22"/>
          <w:szCs w:val="22"/>
        </w:rPr>
        <w:t>in</w:t>
      </w:r>
      <w:r>
        <w:rPr>
          <w:rFonts w:cs="Cambria" w:ascii="Cambria" w:hAnsi="Cambria"/>
          <w:color w:val="000000"/>
          <w:sz w:val="22"/>
          <w:szCs w:val="22"/>
        </w:rPr>
        <w:t xml:space="preserve"> Direito Eleitoral, 7. Ed. Ver. Ampl. E atual. – Salvador: Editora JusPodivm, 2020, p. 279)</w:t>
      </w:r>
    </w:p>
    <w:p>
      <w:pPr>
        <w:pStyle w:val="Normal"/>
        <w:tabs>
          <w:tab w:val="clear" w:pos="708"/>
          <w:tab w:val="left" w:pos="2268" w:leader="none"/>
        </w:tabs>
        <w:spacing w:lineRule="auto" w:line="360"/>
        <w:ind w:left="0" w:right="0" w:firstLine="2268"/>
        <w:jc w:val="both"/>
        <w:rPr>
          <w:rFonts w:ascii="Cambria" w:hAnsi="Cambria" w:cs="Cambria"/>
          <w:color w:val="000000"/>
          <w:sz w:val="24"/>
          <w:szCs w:val="24"/>
        </w:rPr>
      </w:pPr>
      <w:r>
        <w:rPr>
          <w:rFonts w:cs="Cambria" w:ascii="Cambria" w:hAnsi="Cambria"/>
          <w:color w:val="000000"/>
          <w:sz w:val="24"/>
          <w:szCs w:val="24"/>
        </w:rPr>
      </w:r>
    </w:p>
    <w:p>
      <w:pPr>
        <w:pStyle w:val="Normal"/>
        <w:widowControl/>
        <w:tabs>
          <w:tab w:val="clear" w:pos="708"/>
          <w:tab w:val="left" w:pos="2268" w:leader="none"/>
        </w:tabs>
        <w:suppressAutoHyphens w:val="true"/>
        <w:bidi w:val="0"/>
        <w:spacing w:lineRule="auto" w:line="360"/>
        <w:ind w:left="0" w:right="0" w:firstLine="1701"/>
        <w:jc w:val="both"/>
        <w:rPr/>
      </w:pPr>
      <w:r>
        <w:rPr>
          <w:rFonts w:cs="Cambria" w:ascii="Cambria" w:hAnsi="Cambria"/>
          <w:color w:val="000000"/>
          <w:sz w:val="24"/>
          <w:szCs w:val="24"/>
        </w:rPr>
        <w:t xml:space="preserve">Ademais, o e. Supremo Tribunal Federal – em decisão com efeito </w:t>
      </w:r>
      <w:r>
        <w:rPr>
          <w:rFonts w:cs="Cambria" w:ascii="Cambria" w:hAnsi="Cambria"/>
          <w:i/>
          <w:color w:val="000000"/>
          <w:sz w:val="24"/>
          <w:szCs w:val="24"/>
        </w:rPr>
        <w:t>erga omnes</w:t>
      </w:r>
      <w:r>
        <w:rPr>
          <w:rFonts w:cs="Cambria" w:ascii="Cambria" w:hAnsi="Cambria"/>
          <w:color w:val="000000"/>
          <w:sz w:val="24"/>
          <w:szCs w:val="24"/>
        </w:rPr>
        <w:t xml:space="preserve"> e vinculante (ADC nº 29, ADC nº 30 e ADI nº 4.578, j. 16.02.2012) – decidiu pela constitucionalidade da Lei Complementar nº 135/10, assentando que a restrição à capacidade eleitoral passiva, a partir da decisão de órgão colegiado, não fere o princípio da presunção de inocência e, ainda, a possibilidade de aplicação das causas de inelegibilidade aos fatos cometidos anteriormente à vigência do novo diploma normativo.</w:t>
      </w:r>
    </w:p>
    <w:p>
      <w:pPr>
        <w:pStyle w:val="Normal"/>
        <w:widowControl/>
        <w:tabs>
          <w:tab w:val="clear" w:pos="708"/>
          <w:tab w:val="left" w:pos="2268" w:leader="none"/>
        </w:tabs>
        <w:suppressAutoHyphens w:val="true"/>
        <w:bidi w:val="0"/>
        <w:spacing w:lineRule="auto" w:line="360"/>
        <w:ind w:left="0" w:right="0" w:firstLine="1701"/>
        <w:jc w:val="both"/>
        <w:rPr>
          <w:rFonts w:ascii="Cambria" w:hAnsi="Cambria" w:cs="Cambria"/>
          <w:color w:val="000000"/>
          <w:sz w:val="24"/>
          <w:szCs w:val="24"/>
        </w:rPr>
      </w:pPr>
      <w:r>
        <w:rPr>
          <w:rFonts w:cs="Cambria" w:ascii="Cambria" w:hAnsi="Cambria"/>
          <w:color w:val="000000"/>
          <w:sz w:val="24"/>
          <w:szCs w:val="24"/>
        </w:rPr>
        <w:t>Deste modo, tendo em vista o princípio da preclusão (art. 259 do Código Eleitoral), impõe-se o ajuizamento da presente ação de impugnação, pois se trata de causa de inelegibilidade infraconstitucional.</w:t>
      </w:r>
    </w:p>
    <w:p>
      <w:pPr>
        <w:pStyle w:val="Normal"/>
        <w:widowControl/>
        <w:tabs>
          <w:tab w:val="clear" w:pos="708"/>
          <w:tab w:val="left" w:pos="2268" w:leader="none"/>
        </w:tabs>
        <w:suppressAutoHyphens w:val="true"/>
        <w:bidi w:val="0"/>
        <w:spacing w:lineRule="auto" w:line="360"/>
        <w:ind w:left="0" w:right="0" w:firstLine="1701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widowControl/>
        <w:tabs>
          <w:tab w:val="clear" w:pos="708"/>
          <w:tab w:val="left" w:pos="2268" w:leader="none"/>
        </w:tabs>
        <w:suppressAutoHyphens w:val="true"/>
        <w:bidi w:val="0"/>
        <w:spacing w:lineRule="auto" w:line="360"/>
        <w:ind w:left="0" w:right="0" w:firstLine="1701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Diante do exposto, o Ministério Público Eleitoral requer:</w:t>
      </w:r>
    </w:p>
    <w:p>
      <w:pPr>
        <w:pStyle w:val="Normal"/>
        <w:widowControl/>
        <w:tabs>
          <w:tab w:val="clear" w:pos="708"/>
          <w:tab w:val="left" w:pos="2268" w:leader="none"/>
        </w:tabs>
        <w:suppressAutoHyphens w:val="true"/>
        <w:bidi w:val="0"/>
        <w:spacing w:lineRule="auto" w:line="360"/>
        <w:ind w:left="0" w:right="0" w:firstLine="1701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widowControl/>
        <w:tabs>
          <w:tab w:val="clear" w:pos="708"/>
          <w:tab w:val="left" w:pos="2268" w:leader="none"/>
        </w:tabs>
        <w:suppressAutoHyphens w:val="true"/>
        <w:bidi w:val="0"/>
        <w:spacing w:lineRule="auto" w:line="360"/>
        <w:ind w:left="0" w:right="0" w:firstLine="1701"/>
        <w:jc w:val="both"/>
        <w:rPr/>
      </w:pPr>
      <w:r>
        <w:rPr>
          <w:rFonts w:cs="Cambria" w:ascii="Cambria" w:hAnsi="Cambria"/>
          <w:b/>
          <w:bCs/>
          <w:sz w:val="24"/>
          <w:szCs w:val="24"/>
        </w:rPr>
        <w:t>(a)</w:t>
      </w:r>
      <w:r>
        <w:rPr>
          <w:rFonts w:cs="Cambria" w:ascii="Cambria" w:hAnsi="Cambria"/>
          <w:sz w:val="24"/>
          <w:szCs w:val="24"/>
        </w:rPr>
        <w:t xml:space="preserve"> o recebimento da presente ação de impugnação;</w:t>
      </w:r>
    </w:p>
    <w:p>
      <w:pPr>
        <w:pStyle w:val="Normal"/>
        <w:widowControl/>
        <w:tabs>
          <w:tab w:val="clear" w:pos="708"/>
          <w:tab w:val="left" w:pos="2268" w:leader="none"/>
        </w:tabs>
        <w:suppressAutoHyphens w:val="true"/>
        <w:bidi w:val="0"/>
        <w:spacing w:lineRule="auto" w:line="360"/>
        <w:ind w:left="0" w:right="0" w:firstLine="1701"/>
        <w:jc w:val="both"/>
        <w:rPr/>
      </w:pPr>
      <w:r>
        <w:rPr>
          <w:rFonts w:cs="Cambria" w:ascii="Cambria" w:hAnsi="Cambria"/>
          <w:b/>
          <w:bCs/>
          <w:sz w:val="24"/>
          <w:szCs w:val="24"/>
        </w:rPr>
        <w:t>(</w:t>
      </w:r>
      <w:r>
        <w:rPr>
          <w:rFonts w:cs="Cambria" w:ascii="Cambria" w:hAnsi="Cambria"/>
          <w:b/>
          <w:bCs/>
          <w:sz w:val="24"/>
          <w:szCs w:val="24"/>
        </w:rPr>
        <w:t>b)</w:t>
      </w:r>
      <w:r>
        <w:rPr>
          <w:rFonts w:cs="Cambria" w:ascii="Cambria" w:hAnsi="Cambria"/>
          <w:sz w:val="24"/>
          <w:szCs w:val="24"/>
        </w:rPr>
        <w:t xml:space="preserve"> seja o impugnado devidamente notificado, para que, querendo, ofereça sua defesa, nos termos do art. 4º da LC nº 64/90;</w:t>
      </w:r>
    </w:p>
    <w:p>
      <w:pPr>
        <w:pStyle w:val="Normal"/>
        <w:widowControl/>
        <w:tabs>
          <w:tab w:val="clear" w:pos="708"/>
          <w:tab w:val="left" w:pos="2268" w:leader="none"/>
        </w:tabs>
        <w:suppressAutoHyphens w:val="true"/>
        <w:bidi w:val="0"/>
        <w:spacing w:lineRule="auto" w:line="360"/>
        <w:ind w:left="0" w:right="0" w:firstLine="1701"/>
        <w:jc w:val="both"/>
        <w:rPr/>
      </w:pPr>
      <w:r>
        <w:rPr>
          <w:rFonts w:cs="Cambria" w:ascii="Cambria" w:hAnsi="Cambria"/>
          <w:b/>
          <w:bCs/>
          <w:sz w:val="24"/>
          <w:szCs w:val="24"/>
        </w:rPr>
        <w:t xml:space="preserve">(c) </w:t>
      </w:r>
      <w:r>
        <w:rPr>
          <w:rFonts w:cs="Cambria" w:ascii="Cambria" w:hAnsi="Cambria"/>
          <w:sz w:val="24"/>
          <w:szCs w:val="24"/>
        </w:rPr>
        <w:t>que seja notificado o Partido XXX;</w:t>
      </w:r>
    </w:p>
    <w:p>
      <w:pPr>
        <w:pStyle w:val="Normal"/>
        <w:widowControl/>
        <w:tabs>
          <w:tab w:val="clear" w:pos="708"/>
          <w:tab w:val="left" w:pos="2268" w:leader="none"/>
        </w:tabs>
        <w:suppressAutoHyphens w:val="true"/>
        <w:bidi w:val="0"/>
        <w:spacing w:lineRule="auto" w:line="360"/>
        <w:ind w:left="0" w:right="0" w:firstLine="1701"/>
        <w:jc w:val="both"/>
        <w:rPr/>
      </w:pPr>
      <w:r>
        <w:rPr>
          <w:rFonts w:cs="Cambria" w:ascii="Cambria" w:hAnsi="Cambria"/>
          <w:b/>
          <w:bCs/>
          <w:sz w:val="24"/>
          <w:szCs w:val="24"/>
        </w:rPr>
        <w:t>(d)</w:t>
      </w:r>
      <w:r>
        <w:rPr>
          <w:rFonts w:cs="Cambria" w:ascii="Cambria" w:hAnsi="Cambria"/>
          <w:sz w:val="24"/>
          <w:szCs w:val="24"/>
        </w:rPr>
        <w:t xml:space="preserve"> que, em diligência, seja juntado ao presente cópia do pedido de registro do impugnado;</w:t>
      </w:r>
    </w:p>
    <w:p>
      <w:pPr>
        <w:pStyle w:val="Normal"/>
        <w:widowControl/>
        <w:tabs>
          <w:tab w:val="clear" w:pos="708"/>
          <w:tab w:val="left" w:pos="2268" w:leader="none"/>
        </w:tabs>
        <w:suppressAutoHyphens w:val="true"/>
        <w:bidi w:val="0"/>
        <w:spacing w:lineRule="auto" w:line="360"/>
        <w:ind w:left="0" w:right="0" w:firstLine="1701"/>
        <w:jc w:val="both"/>
        <w:rPr/>
      </w:pPr>
      <w:r>
        <w:rPr>
          <w:rFonts w:cs="Cambria" w:ascii="Cambria" w:hAnsi="Cambria"/>
          <w:b/>
          <w:bCs/>
          <w:sz w:val="24"/>
          <w:szCs w:val="24"/>
        </w:rPr>
        <w:t>(e)</w:t>
      </w:r>
      <w:r>
        <w:rPr>
          <w:rFonts w:cs="Cambria" w:ascii="Cambria" w:hAnsi="Cambria"/>
          <w:sz w:val="24"/>
          <w:szCs w:val="24"/>
        </w:rPr>
        <w:t xml:space="preserve"> seja juntada a documentação anexa;</w:t>
      </w:r>
    </w:p>
    <w:p>
      <w:pPr>
        <w:pStyle w:val="Normal"/>
        <w:widowControl/>
        <w:tabs>
          <w:tab w:val="clear" w:pos="708"/>
          <w:tab w:val="left" w:pos="2268" w:leader="none"/>
        </w:tabs>
        <w:suppressAutoHyphens w:val="true"/>
        <w:bidi w:val="0"/>
        <w:spacing w:lineRule="auto" w:line="360"/>
        <w:ind w:left="0" w:right="0" w:firstLine="1701"/>
        <w:jc w:val="both"/>
        <w:rPr/>
      </w:pPr>
      <w:r>
        <w:rPr>
          <w:rFonts w:cs="Cambria" w:ascii="Cambria" w:hAnsi="Cambria"/>
          <w:b/>
          <w:bCs/>
          <w:sz w:val="24"/>
          <w:szCs w:val="24"/>
        </w:rPr>
        <w:t>(f)</w:t>
      </w:r>
      <w:r>
        <w:rPr>
          <w:rFonts w:cs="Cambria" w:ascii="Cambria" w:hAnsi="Cambria"/>
          <w:sz w:val="24"/>
          <w:szCs w:val="24"/>
        </w:rPr>
        <w:t xml:space="preserve"> protesta pela produção de todos os meios de prova em direito admitidos;</w:t>
      </w:r>
    </w:p>
    <w:p>
      <w:pPr>
        <w:pStyle w:val="Normal"/>
        <w:widowControl/>
        <w:tabs>
          <w:tab w:val="clear" w:pos="708"/>
          <w:tab w:val="left" w:pos="2268" w:leader="none"/>
        </w:tabs>
        <w:suppressAutoHyphens w:val="true"/>
        <w:bidi w:val="0"/>
        <w:spacing w:lineRule="auto" w:line="360"/>
        <w:ind w:left="0" w:right="0" w:firstLine="1701"/>
        <w:jc w:val="both"/>
        <w:rPr/>
      </w:pPr>
      <w:r>
        <w:rPr>
          <w:rFonts w:cs="Cambria" w:ascii="Cambria" w:hAnsi="Cambria"/>
          <w:b/>
          <w:sz w:val="24"/>
          <w:szCs w:val="24"/>
        </w:rPr>
        <w:t xml:space="preserve">(g) </w:t>
      </w:r>
      <w:r>
        <w:rPr>
          <w:rFonts w:cs="Cambria" w:ascii="Cambria" w:hAnsi="Cambria"/>
          <w:sz w:val="24"/>
          <w:szCs w:val="24"/>
        </w:rPr>
        <w:t>encerrado o prazo da dilação probatória, seja oportunizado às partes o oferecimento de alegações finais, nos termos do art. 6º da LC n. 64/90; e,</w:t>
      </w:r>
    </w:p>
    <w:p>
      <w:pPr>
        <w:pStyle w:val="Normal"/>
        <w:widowControl/>
        <w:tabs>
          <w:tab w:val="clear" w:pos="708"/>
          <w:tab w:val="left" w:pos="2268" w:leader="none"/>
        </w:tabs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Cambria" w:ascii="Cambria" w:hAnsi="Cambria"/>
          <w:b/>
          <w:bCs/>
          <w:color w:val="000000"/>
          <w:sz w:val="24"/>
          <w:szCs w:val="24"/>
        </w:rPr>
        <w:t>(h)</w:t>
      </w:r>
      <w:r>
        <w:rPr>
          <w:rFonts w:cs="Cambria" w:ascii="Cambria" w:hAnsi="Cambria"/>
          <w:color w:val="000000"/>
          <w:sz w:val="24"/>
          <w:szCs w:val="24"/>
        </w:rPr>
        <w:t xml:space="preserve"> por fim, que seja a presente ação de impugnação de candidato </w:t>
      </w:r>
      <w:r>
        <w:rPr>
          <w:rFonts w:cs="Cambria" w:ascii="Cambria" w:hAnsi="Cambria"/>
          <w:b/>
          <w:color w:val="000000"/>
          <w:sz w:val="24"/>
          <w:szCs w:val="24"/>
        </w:rPr>
        <w:t>julgada integralmente procedente</w:t>
      </w:r>
      <w:r>
        <w:rPr>
          <w:rFonts w:cs="Cambria" w:ascii="Cambria" w:hAnsi="Cambria"/>
          <w:color w:val="000000"/>
          <w:sz w:val="24"/>
          <w:szCs w:val="24"/>
        </w:rPr>
        <w:t>, para o fim de indeferir o registro do impugnado.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Local e data.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Promotor(a) Eleitoral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  <w:font w:name="Cambri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Itens">
    <w:name w:val="itens"/>
    <w:basedOn w:val="Normal"/>
    <w:qFormat/>
    <w:pPr>
      <w:spacing w:before="100" w:after="100"/>
    </w:pPr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</TotalTime>
  <Application>LibreOffice/7.2.6.2$Windows_X86_64 LibreOffice_project/b0ec3a565991f7569a5a7f5d24fed7f52653d754</Application>
  <AppVersion>15.0000</AppVersion>
  <Pages>4</Pages>
  <Words>854</Words>
  <Characters>4589</Characters>
  <CharactersWithSpaces>5427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2023-06-06T18:38:35Z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