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120" w:after="0"/>
        <w:jc w:val="both"/>
        <w:rPr>
          <w:rFonts w:ascii="Cambria" w:hAnsi="Cambria"/>
        </w:rPr>
      </w:pPr>
      <w:r>
        <w:rPr>
          <w:rFonts w:eastAsia="Calibri" w:cs="Tahoma" w:ascii="Cambria" w:hAnsi="Cambria"/>
          <w:sz w:val="24"/>
        </w:rPr>
        <w:t xml:space="preserve">Ofício Circular n. </w:t>
      </w:r>
      <w:r>
        <w:rPr>
          <w:rFonts w:eastAsia="Calibri" w:cs="Tahoma" w:ascii="Cambria" w:hAnsi="Cambria"/>
          <w:color w:val="FF0000"/>
          <w:sz w:val="24"/>
        </w:rPr>
        <w:t>XX/2024</w:t>
      </w:r>
    </w:p>
    <w:p>
      <w:pPr>
        <w:pStyle w:val="Normal"/>
        <w:spacing w:lineRule="auto" w:line="276" w:before="120" w:after="0"/>
        <w:jc w:val="both"/>
        <w:rPr>
          <w:rFonts w:ascii="Cambria" w:hAnsi="Cambria" w:eastAsia="Calibri" w:cs="Tahoma"/>
          <w:sz w:val="24"/>
        </w:rPr>
      </w:pPr>
      <w:r>
        <w:rPr>
          <w:rFonts w:eastAsia="Calibri" w:cs="Tahoma" w:ascii="Cambria" w:hAnsi="Cambria"/>
          <w:sz w:val="24"/>
        </w:rPr>
      </w:r>
    </w:p>
    <w:p>
      <w:pPr>
        <w:pStyle w:val="Normal"/>
        <w:spacing w:lineRule="auto" w:line="276" w:before="120" w:after="0"/>
        <w:jc w:val="right"/>
        <w:rPr>
          <w:rFonts w:ascii="Cambria" w:hAnsi="Cambria"/>
        </w:rPr>
      </w:pPr>
      <w:r>
        <w:rPr>
          <w:rFonts w:eastAsia="Calibri" w:cs="Tahoma" w:ascii="Cambria" w:hAnsi="Cambria"/>
          <w:sz w:val="24"/>
        </w:rPr>
        <w:tab/>
        <w:tab/>
        <w:tab/>
        <w:tab/>
        <w:tab/>
        <w:tab/>
        <w:tab/>
      </w:r>
      <w:r>
        <w:rPr>
          <w:rFonts w:eastAsia="Calibri" w:cs="Tahoma" w:ascii="Cambria" w:hAnsi="Cambria"/>
          <w:color w:val="FF0000"/>
          <w:sz w:val="24"/>
        </w:rPr>
        <w:t xml:space="preserve">XXXX, XX </w:t>
      </w:r>
      <w:r>
        <w:rPr>
          <w:rFonts w:eastAsia="Calibri" w:cs="Tahoma" w:ascii="Cambria" w:hAnsi="Cambria"/>
          <w:sz w:val="24"/>
        </w:rPr>
        <w:t>de _________ de 2024.</w:t>
      </w:r>
    </w:p>
    <w:p>
      <w:pPr>
        <w:pStyle w:val="Normal"/>
        <w:spacing w:lineRule="auto" w:line="276" w:before="120" w:after="0"/>
        <w:jc w:val="right"/>
        <w:rPr>
          <w:rFonts w:ascii="Cambria" w:hAnsi="Cambria" w:eastAsia="Calibri" w:cs="Tahoma"/>
          <w:sz w:val="24"/>
        </w:rPr>
      </w:pPr>
      <w:r>
        <w:rPr>
          <w:rFonts w:eastAsia="Calibri" w:cs="Tahoma" w:ascii="Cambria" w:hAnsi="Cambria"/>
          <w:sz w:val="24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701"/>
        <w:jc w:val="both"/>
        <w:rPr>
          <w:rFonts w:ascii="Cambria" w:hAnsi="Cambria"/>
        </w:rPr>
      </w:pPr>
      <w:r>
        <w:rPr>
          <w:rFonts w:eastAsia="Calibri" w:cs="Tahoma" w:ascii="Cambria" w:hAnsi="Cambria"/>
          <w:b/>
          <w:sz w:val="24"/>
        </w:rPr>
        <w:t xml:space="preserve">Prezados responsáveis de </w:t>
      </w:r>
      <w:bookmarkStart w:id="0" w:name="_Hlk46959042"/>
      <w:r>
        <w:rPr>
          <w:rFonts w:eastAsia="Calibri" w:cs="Tahoma" w:ascii="Cambria" w:hAnsi="Cambria"/>
          <w:b/>
          <w:sz w:val="24"/>
        </w:rPr>
        <w:t>sites comerciais e/ou de notícias</w:t>
      </w:r>
      <w:bookmarkEnd w:id="0"/>
      <w:r>
        <w:rPr>
          <w:rFonts w:eastAsia="Calibri" w:cs="Tahoma" w:ascii="Cambria" w:hAnsi="Cambria"/>
          <w:b/>
          <w:sz w:val="24"/>
        </w:rPr>
        <w:t>: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701"/>
        <w:jc w:val="both"/>
        <w:rPr>
          <w:rFonts w:eastAsia="Calibri" w:cs="Tahoma"/>
          <w:b/>
          <w:b/>
          <w:sz w:val="24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701"/>
        <w:jc w:val="both"/>
        <w:rPr>
          <w:rFonts w:ascii="Cambria" w:hAnsi="Cambria"/>
        </w:rPr>
      </w:pPr>
      <w:bookmarkStart w:id="1" w:name="_Hlk46951538"/>
      <w:r>
        <w:rPr>
          <w:rFonts w:cs="Tahoma" w:ascii="Cambria" w:hAnsi="Cambria"/>
          <w:b/>
          <w:sz w:val="24"/>
        </w:rPr>
        <w:t>CONSIDERANDO</w:t>
      </w:r>
      <w:r>
        <w:rPr>
          <w:rFonts w:cs="Tahoma" w:ascii="Cambria" w:hAnsi="Cambria"/>
          <w:sz w:val="24"/>
        </w:rPr>
        <w:t xml:space="preserve"> que o art. 57-C, da Lei n. 9.504/97, determina expressamente que “é </w:t>
      </w:r>
      <w:r>
        <w:rPr>
          <w:rFonts w:cs="Tahoma" w:ascii="Cambria" w:hAnsi="Cambria"/>
          <w:b/>
          <w:sz w:val="24"/>
          <w:u w:val="single"/>
        </w:rPr>
        <w:t>vedada</w:t>
      </w:r>
      <w:r>
        <w:rPr>
          <w:rFonts w:cs="Tahoma" w:ascii="Cambria" w:hAnsi="Cambria"/>
          <w:b/>
          <w:sz w:val="24"/>
        </w:rPr>
        <w:t xml:space="preserve"> a veiculação de qualquer tipo de </w:t>
      </w:r>
      <w:r>
        <w:rPr>
          <w:rFonts w:cs="Tahoma" w:ascii="Cambria" w:hAnsi="Cambria"/>
          <w:b/>
          <w:sz w:val="24"/>
          <w:u w:val="single"/>
        </w:rPr>
        <w:t>propaganda eleitoral paga na Internet</w:t>
      </w:r>
      <w:r>
        <w:rPr>
          <w:rFonts w:cs="Tahoma" w:ascii="Cambria" w:hAnsi="Cambria"/>
          <w:sz w:val="24"/>
        </w:rPr>
        <w:t>, excetuado o impulsionamento de conteúdos, desde que identificado de forma inequívoca como tal e contratado exclusivamente por partidos, coligações e candidatos e seus representantes</w:t>
      </w:r>
      <w:bookmarkEnd w:id="1"/>
      <w:r>
        <w:rPr>
          <w:rFonts w:cs="Tahoma" w:ascii="Cambria" w:hAnsi="Cambria"/>
          <w:sz w:val="24"/>
        </w:rPr>
        <w:t>”;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701"/>
        <w:jc w:val="both"/>
        <w:rPr>
          <w:rFonts w:cs="Tahoma"/>
          <w:b/>
          <w:b/>
          <w:sz w:val="24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701"/>
        <w:jc w:val="both"/>
        <w:rPr>
          <w:rFonts w:ascii="Cambria" w:hAnsi="Cambria"/>
        </w:rPr>
      </w:pPr>
      <w:r>
        <w:rPr>
          <w:rFonts w:cs="Tahoma" w:ascii="Cambria" w:hAnsi="Cambria"/>
          <w:b/>
          <w:sz w:val="24"/>
        </w:rPr>
        <w:t>CONSIDERANDO</w:t>
      </w:r>
      <w:r>
        <w:rPr>
          <w:rFonts w:cs="Tahoma" w:ascii="Cambria" w:hAnsi="Cambria"/>
          <w:sz w:val="24"/>
        </w:rPr>
        <w:t xml:space="preserve"> que segundo o art. 57-C, § 1º, inciso I, da Lei n. 9.504/97, estabelece que “é </w:t>
      </w:r>
      <w:r>
        <w:rPr>
          <w:rFonts w:cs="Tahoma" w:ascii="Cambria" w:hAnsi="Cambria"/>
          <w:b/>
          <w:sz w:val="24"/>
          <w:u w:val="single"/>
        </w:rPr>
        <w:t>vedada</w:t>
      </w:r>
      <w:r>
        <w:rPr>
          <w:rFonts w:cs="Tahoma" w:ascii="Cambria" w:hAnsi="Cambria"/>
          <w:sz w:val="24"/>
        </w:rPr>
        <w:t xml:space="preserve">, </w:t>
      </w:r>
      <w:r>
        <w:rPr>
          <w:rFonts w:cs="Tahoma" w:ascii="Cambria" w:hAnsi="Cambria"/>
          <w:b/>
          <w:sz w:val="24"/>
        </w:rPr>
        <w:t xml:space="preserve">ainda que </w:t>
      </w:r>
      <w:r>
        <w:rPr>
          <w:rFonts w:cs="Tahoma" w:ascii="Cambria" w:hAnsi="Cambria"/>
          <w:b/>
          <w:sz w:val="24"/>
          <w:u w:val="single"/>
        </w:rPr>
        <w:t>gratuitamente</w:t>
      </w:r>
      <w:r>
        <w:rPr>
          <w:rFonts w:cs="Tahoma" w:ascii="Cambria" w:hAnsi="Cambria"/>
          <w:sz w:val="24"/>
        </w:rPr>
        <w:t xml:space="preserve">, a veiculação </w:t>
      </w:r>
      <w:r>
        <w:rPr>
          <w:rFonts w:cs="Tahoma" w:ascii="Cambria" w:hAnsi="Cambria"/>
          <w:b/>
          <w:sz w:val="24"/>
        </w:rPr>
        <w:t xml:space="preserve">de </w:t>
      </w:r>
      <w:r>
        <w:rPr>
          <w:rFonts w:cs="Tahoma" w:ascii="Cambria" w:hAnsi="Cambria"/>
          <w:b/>
          <w:sz w:val="24"/>
          <w:u w:val="single"/>
        </w:rPr>
        <w:t>propaganda eleitoral</w:t>
      </w:r>
      <w:r>
        <w:rPr>
          <w:rFonts w:cs="Tahoma" w:ascii="Cambria" w:hAnsi="Cambria"/>
          <w:b/>
          <w:sz w:val="24"/>
        </w:rPr>
        <w:t xml:space="preserve"> na Internet, em sítios</w:t>
      </w:r>
      <w:r>
        <w:rPr>
          <w:rFonts w:cs="Tahoma" w:ascii="Cambria" w:hAnsi="Cambria"/>
          <w:sz w:val="24"/>
        </w:rPr>
        <w:t xml:space="preserve">: I – </w:t>
      </w:r>
      <w:r>
        <w:rPr>
          <w:rFonts w:cs="Tahoma" w:ascii="Cambria" w:hAnsi="Cambria"/>
          <w:b/>
          <w:sz w:val="24"/>
          <w:u w:val="single"/>
        </w:rPr>
        <w:t>de pessoas jurídicas, com ou sem fins lucrativos</w:t>
      </w:r>
      <w:r>
        <w:rPr>
          <w:rFonts w:cs="Tahoma" w:ascii="Cambria" w:hAnsi="Cambria"/>
          <w:sz w:val="24"/>
        </w:rPr>
        <w:t>”;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701"/>
        <w:jc w:val="both"/>
        <w:rPr>
          <w:rFonts w:cs="Tahoma"/>
          <w:b/>
          <w:b/>
          <w:sz w:val="24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701"/>
        <w:jc w:val="both"/>
        <w:rPr>
          <w:rFonts w:ascii="Cambria" w:hAnsi="Cambria"/>
        </w:rPr>
      </w:pPr>
      <w:r>
        <w:rPr>
          <w:rFonts w:cs="Tahoma" w:ascii="Cambria" w:hAnsi="Cambria"/>
          <w:b/>
          <w:sz w:val="24"/>
        </w:rPr>
        <w:t>CONSIDERANDO</w:t>
      </w:r>
      <w:r>
        <w:rPr>
          <w:rFonts w:cs="Tahoma" w:ascii="Cambria" w:hAnsi="Cambria"/>
          <w:sz w:val="24"/>
        </w:rPr>
        <w:t xml:space="preserve"> que pode configurar </w:t>
      </w:r>
      <w:r>
        <w:rPr>
          <w:rFonts w:cs="Tahoma" w:ascii="Cambria" w:hAnsi="Cambria"/>
          <w:b/>
          <w:sz w:val="24"/>
        </w:rPr>
        <w:t xml:space="preserve">abuso de poder a </w:t>
      </w:r>
      <w:r>
        <w:rPr>
          <w:rFonts w:cs="Tahoma" w:ascii="Cambria" w:hAnsi="Cambria"/>
          <w:b/>
          <w:sz w:val="24"/>
          <w:u w:val="single"/>
        </w:rPr>
        <w:t>utilização indevida de veículos ou meios de comunicação social</w:t>
      </w:r>
      <w:r>
        <w:rPr>
          <w:rFonts w:cs="Tahoma" w:ascii="Cambria" w:hAnsi="Cambria"/>
          <w:b/>
          <w:sz w:val="24"/>
        </w:rPr>
        <w:t>, em benefício de candidato ou de partido político</w:t>
      </w:r>
      <w:r>
        <w:rPr>
          <w:rFonts w:cs="Tahoma" w:ascii="Cambria" w:hAnsi="Cambria"/>
          <w:sz w:val="24"/>
        </w:rPr>
        <w:t>, nos termos do art. 22, da LC n. 64/90, passível de ser apurada pela Justiça Eleitoral na Ação de Investigação Judicial Eleitoral – AIJE, com sanção de inelegibilidade e cassação do registro ou diploma do candidato beneficiado;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701"/>
        <w:jc w:val="both"/>
        <w:rPr>
          <w:rFonts w:cs="Tahoma"/>
          <w:b/>
          <w:b/>
          <w:sz w:val="24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701"/>
        <w:jc w:val="both"/>
        <w:rPr>
          <w:rFonts w:ascii="Cambria" w:hAnsi="Cambria"/>
        </w:rPr>
      </w:pPr>
      <w:r>
        <w:rPr>
          <w:rFonts w:cs="Tahoma" w:ascii="Cambria" w:hAnsi="Cambria"/>
          <w:b/>
          <w:sz w:val="24"/>
        </w:rPr>
        <w:t>CONSIDERANDO</w:t>
      </w:r>
      <w:r>
        <w:rPr>
          <w:rFonts w:cs="Tahoma" w:ascii="Cambria" w:hAnsi="Cambria"/>
          <w:sz w:val="24"/>
        </w:rPr>
        <w:t xml:space="preserve"> que o TSE entende que o extrapolamento do uso normal das </w:t>
      </w:r>
      <w:r>
        <w:rPr>
          <w:rFonts w:cs="Tahoma" w:ascii="Cambria" w:hAnsi="Cambria"/>
          <w:b/>
          <w:sz w:val="24"/>
        </w:rPr>
        <w:t>ferramentas virtuais</w:t>
      </w:r>
      <w:r>
        <w:rPr>
          <w:rFonts w:cs="Tahoma" w:ascii="Cambria" w:hAnsi="Cambria"/>
          <w:sz w:val="24"/>
        </w:rPr>
        <w:t xml:space="preserve"> pode configurar o </w:t>
      </w:r>
      <w:r>
        <w:rPr>
          <w:rFonts w:cs="Tahoma" w:ascii="Cambria" w:hAnsi="Cambria"/>
          <w:b/>
          <w:sz w:val="24"/>
          <w:u w:val="single"/>
        </w:rPr>
        <w:t>uso indevido dos meios de comunicação social</w:t>
      </w:r>
      <w:r>
        <w:rPr>
          <w:rFonts w:cs="Tahoma" w:ascii="Cambria" w:hAnsi="Cambria"/>
          <w:sz w:val="24"/>
        </w:rPr>
        <w:t>, a ser apurado na forma do art. 22 da LC nº 64/1990 (TSE – Ação de Investigação Judicial Eleitoral nº 060186221/DF - Acórdão de 19/09/2019 - Relator(a) Min. Og Fernandes - Relator(a) designado(a) Min. Jorge Mussi - Publicação: DJE, Tomo 227, Data 26/11/2019);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701"/>
        <w:jc w:val="both"/>
        <w:rPr>
          <w:rFonts w:cs="Tahoma"/>
          <w:b/>
          <w:b/>
          <w:sz w:val="24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701"/>
        <w:jc w:val="both"/>
        <w:rPr>
          <w:rFonts w:ascii="Cambria" w:hAnsi="Cambria"/>
        </w:rPr>
      </w:pPr>
      <w:r>
        <w:rPr>
          <w:rFonts w:cs="Tahoma" w:ascii="Cambria" w:hAnsi="Cambria"/>
          <w:b/>
          <w:sz w:val="24"/>
        </w:rPr>
        <w:t>CONSIDERANDO</w:t>
      </w:r>
      <w:r>
        <w:rPr>
          <w:rFonts w:cs="Tahoma" w:ascii="Cambria" w:hAnsi="Cambria"/>
          <w:sz w:val="24"/>
        </w:rPr>
        <w:t xml:space="preserve"> que a </w:t>
      </w:r>
      <w:r>
        <w:rPr>
          <w:rFonts w:cs="Tahoma" w:ascii="Cambria" w:hAnsi="Cambria"/>
          <w:sz w:val="24"/>
          <w:u w:val="single"/>
        </w:rPr>
        <w:t>única exceção existente na legislação eleitoral</w:t>
      </w:r>
      <w:r>
        <w:rPr>
          <w:rFonts w:cs="Tahoma" w:ascii="Cambria" w:hAnsi="Cambria"/>
          <w:sz w:val="24"/>
        </w:rPr>
        <w:t xml:space="preserve"> para sites comerciais ou de notícias divulgarem </w:t>
      </w:r>
      <w:r>
        <w:rPr>
          <w:rFonts w:cs="Tahoma" w:ascii="Cambria" w:hAnsi="Cambria"/>
          <w:b/>
          <w:sz w:val="24"/>
        </w:rPr>
        <w:t>propaganda eleitoral</w:t>
      </w:r>
      <w:r>
        <w:rPr>
          <w:rFonts w:cs="Tahoma" w:ascii="Cambria" w:hAnsi="Cambria"/>
          <w:sz w:val="24"/>
        </w:rPr>
        <w:t xml:space="preserve"> é a </w:t>
      </w:r>
      <w:r>
        <w:rPr>
          <w:rFonts w:cs="Tahoma" w:ascii="Cambria" w:hAnsi="Cambria"/>
          <w:b/>
          <w:sz w:val="24"/>
          <w:u w:val="single"/>
        </w:rPr>
        <w:t>exata e idêntica</w:t>
      </w:r>
      <w:r>
        <w:rPr>
          <w:rFonts w:ascii="Cambria" w:hAnsi="Cambria"/>
        </w:rPr>
        <w:t xml:space="preserve"> “</w:t>
      </w:r>
      <w:r>
        <w:rPr>
          <w:rFonts w:cs="Tahoma" w:ascii="Cambria" w:hAnsi="Cambria"/>
          <w:sz w:val="24"/>
          <w:u w:val="single"/>
        </w:rPr>
        <w:t>reprodução na Internet do jornal impresso</w:t>
      </w:r>
      <w:r>
        <w:rPr>
          <w:rFonts w:cs="Tahoma" w:ascii="Cambria" w:hAnsi="Cambria"/>
          <w:sz w:val="24"/>
        </w:rPr>
        <w:t xml:space="preserve">”, nos termos do art. 43, da Lei 9.504/97, ou seja, só se aplica para imprensa escrita que, após a impressão e circulação física do jornal, o reproduz no site, mesmo assim, </w:t>
      </w:r>
      <w:r>
        <w:rPr>
          <w:rFonts w:cs="Tahoma" w:ascii="Cambria" w:hAnsi="Cambria"/>
          <w:b/>
          <w:sz w:val="24"/>
        </w:rPr>
        <w:t>apenas no período eleitoral permitido</w:t>
      </w:r>
      <w:r>
        <w:rPr>
          <w:rFonts w:cs="Tahoma" w:ascii="Cambria" w:hAnsi="Cambria"/>
          <w:sz w:val="24"/>
        </w:rPr>
        <w:t>;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701"/>
        <w:jc w:val="both"/>
        <w:rPr>
          <w:rFonts w:cs="Tahoma"/>
          <w:b/>
          <w:b/>
          <w:sz w:val="24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701"/>
        <w:jc w:val="both"/>
        <w:rPr>
          <w:rFonts w:ascii="Cambria" w:hAnsi="Cambria"/>
        </w:rPr>
      </w:pPr>
      <w:bookmarkStart w:id="2" w:name="_Hlk46946676"/>
      <w:r>
        <w:rPr>
          <w:rFonts w:cs="Tahoma" w:ascii="Cambria" w:hAnsi="Cambria"/>
          <w:b/>
          <w:sz w:val="24"/>
        </w:rPr>
        <w:t>CONSIDERANDO</w:t>
      </w:r>
      <w:r>
        <w:rPr>
          <w:rFonts w:cs="Tahoma" w:ascii="Cambria" w:hAnsi="Cambria"/>
          <w:sz w:val="24"/>
        </w:rPr>
        <w:t xml:space="preserve"> que o </w:t>
      </w:r>
      <w:r>
        <w:rPr>
          <w:rFonts w:cs="Tahoma" w:ascii="Cambria" w:hAnsi="Cambria"/>
          <w:b/>
          <w:sz w:val="24"/>
        </w:rPr>
        <w:t>TSE</w:t>
      </w:r>
      <w:r>
        <w:rPr>
          <w:rFonts w:cs="Tahoma" w:ascii="Cambria" w:hAnsi="Cambria"/>
          <w:sz w:val="24"/>
        </w:rPr>
        <w:t xml:space="preserve"> já decidiu que “é entendimento desta Corte que </w:t>
      </w:r>
      <w:r>
        <w:rPr>
          <w:rFonts w:cs="Tahoma" w:ascii="Cambria" w:hAnsi="Cambria"/>
          <w:b/>
          <w:sz w:val="24"/>
        </w:rPr>
        <w:t>não se admite a utilização de sites para a divulgação de propaganda eleitoral extemporânea</w:t>
      </w:r>
      <w:r>
        <w:rPr>
          <w:rFonts w:cs="Tahoma" w:ascii="Cambria" w:hAnsi="Cambria"/>
          <w:sz w:val="24"/>
        </w:rPr>
        <w:t>, sob pena de desequilíbrio no processo eleitoral. Precedentes.” (Agravo de In</w:t>
      </w:r>
      <w:bookmarkEnd w:id="2"/>
      <w:r>
        <w:rPr>
          <w:rFonts w:cs="Tahoma" w:ascii="Cambria" w:hAnsi="Cambria"/>
          <w:sz w:val="24"/>
        </w:rPr>
        <w:t>strumento nº 299968, Publicação: DJE, Tomo  199, Data 16/10/2013);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701"/>
        <w:jc w:val="both"/>
        <w:rPr>
          <w:rFonts w:cs="Tahoma"/>
          <w:b/>
          <w:b/>
          <w:sz w:val="24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701"/>
        <w:jc w:val="both"/>
        <w:rPr>
          <w:rFonts w:ascii="Cambria" w:hAnsi="Cambria"/>
        </w:rPr>
      </w:pPr>
      <w:r>
        <w:rPr>
          <w:rFonts w:cs="Tahoma" w:ascii="Cambria" w:hAnsi="Cambria"/>
          <w:b/>
          <w:sz w:val="24"/>
        </w:rPr>
        <w:t>CONSIDERANDO</w:t>
      </w:r>
      <w:r>
        <w:rPr>
          <w:rFonts w:cs="Tahoma" w:ascii="Cambria" w:hAnsi="Cambria"/>
          <w:sz w:val="24"/>
        </w:rPr>
        <w:t xml:space="preserve"> que constitui propaganda eleitoral extemporânea ou antecipada </w:t>
      </w:r>
      <w:r>
        <w:rPr>
          <w:rFonts w:cs="Tahoma" w:ascii="Cambria" w:hAnsi="Cambria"/>
          <w:b/>
          <w:sz w:val="24"/>
        </w:rPr>
        <w:t>não só o pedido direto de votos</w:t>
      </w:r>
      <w:r>
        <w:rPr>
          <w:rFonts w:cs="Tahoma" w:ascii="Cambria" w:hAnsi="Cambria"/>
          <w:sz w:val="24"/>
        </w:rPr>
        <w:t>, mas também porque “o</w:t>
      </w:r>
      <w:r>
        <w:rPr>
          <w:rFonts w:cs="Tahoma" w:ascii="Cambria" w:hAnsi="Cambria"/>
          <w:color w:val="000000"/>
          <w:sz w:val="24"/>
        </w:rPr>
        <w:t xml:space="preserve"> pedido explícito de votos pode ser identificado pelo </w:t>
      </w:r>
      <w:r>
        <w:rPr>
          <w:rFonts w:cs="Tahoma" w:ascii="Cambria" w:hAnsi="Cambria"/>
          <w:b/>
          <w:color w:val="000000"/>
          <w:sz w:val="24"/>
        </w:rPr>
        <w:t>uso de determinadas "palavras mágicas"</w:t>
      </w:r>
      <w:r>
        <w:rPr>
          <w:rFonts w:cs="Tahoma" w:ascii="Cambria" w:hAnsi="Cambria"/>
          <w:color w:val="000000"/>
          <w:sz w:val="24"/>
        </w:rPr>
        <w:t xml:space="preserve">, como, por exemplo, "apoiem" e "elejam", </w:t>
      </w:r>
      <w:r>
        <w:rPr>
          <w:rFonts w:cs="Tahoma" w:ascii="Cambria" w:hAnsi="Cambria"/>
          <w:b/>
          <w:color w:val="000000"/>
          <w:sz w:val="24"/>
        </w:rPr>
        <w:t>que</w:t>
      </w:r>
      <w:r>
        <w:rPr>
          <w:rFonts w:cs="Tahoma" w:ascii="Cambria" w:hAnsi="Cambria"/>
          <w:color w:val="000000"/>
          <w:sz w:val="24"/>
        </w:rPr>
        <w:t xml:space="preserve"> </w:t>
      </w:r>
      <w:r>
        <w:rPr>
          <w:rFonts w:cs="Tahoma" w:ascii="Cambria" w:hAnsi="Cambria"/>
          <w:b/>
          <w:color w:val="000000"/>
          <w:sz w:val="24"/>
        </w:rPr>
        <w:t>nos levem a concluir que o emissor está defendendo publicamente a sua vitória</w:t>
      </w:r>
      <w:r>
        <w:rPr>
          <w:rFonts w:cs="Tahoma" w:ascii="Cambria" w:hAnsi="Cambria"/>
          <w:color w:val="000000"/>
          <w:sz w:val="24"/>
        </w:rPr>
        <w:t xml:space="preserve">” (TSE – </w:t>
      </w:r>
      <w:r>
        <w:rPr>
          <w:rFonts w:eastAsia="Times New Roman" w:cs="Tahoma" w:ascii="Cambria" w:hAnsi="Cambria"/>
          <w:color w:val="000000"/>
          <w:sz w:val="24"/>
          <w:lang w:eastAsia="pt-BR"/>
        </w:rPr>
        <w:t>AgRg-REspe nº 2931 - QUEIMADOS – RJ - Acórdão de 30/10/2018 - Relator Min. Luís Roberto Barroso - Publicação: DJE, Tomo 238, Data 03/12/2018, Página 97-98)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701"/>
        <w:jc w:val="both"/>
        <w:rPr>
          <w:rFonts w:eastAsia="Times New Roman" w:cs="Tahoma"/>
          <w:b/>
          <w:b/>
          <w:color w:val="000000"/>
          <w:sz w:val="24"/>
          <w:lang w:eastAsia="pt-BR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701"/>
        <w:jc w:val="both"/>
        <w:rPr>
          <w:rFonts w:ascii="Cambria" w:hAnsi="Cambria"/>
        </w:rPr>
      </w:pPr>
      <w:r>
        <w:rPr>
          <w:rFonts w:cs="Tahoma" w:ascii="Cambria" w:hAnsi="Cambria"/>
          <w:b/>
          <w:sz w:val="24"/>
        </w:rPr>
        <w:t>CONSIDERANDO</w:t>
      </w:r>
      <w:r>
        <w:rPr>
          <w:rFonts w:cs="Tahoma" w:ascii="Cambria" w:hAnsi="Cambria"/>
          <w:sz w:val="24"/>
        </w:rPr>
        <w:t xml:space="preserve"> que o art. 36-A, da Lei 9.504/97, </w:t>
      </w:r>
      <w:r>
        <w:rPr>
          <w:rFonts w:cs="Tahoma" w:ascii="Cambria" w:hAnsi="Cambria"/>
          <w:b/>
          <w:sz w:val="24"/>
        </w:rPr>
        <w:t>permite a livre manifestação do pensamento dos pretensos candidatos, ainda que consista em divulgação de sua pré-candidatura</w:t>
      </w:r>
      <w:r>
        <w:rPr>
          <w:rFonts w:cs="Tahoma" w:ascii="Cambria" w:hAnsi="Cambria"/>
          <w:sz w:val="24"/>
        </w:rPr>
        <w:t xml:space="preserve">, com exaltação das qualidades pessoais e profissionais do pré-candidato e em menção às ações empreendidas pelo pré-candidato e aos seus projetos e programas a implantar caso eleito, </w:t>
      </w:r>
      <w:r>
        <w:rPr>
          <w:rFonts w:cs="Tahoma" w:ascii="Cambria" w:hAnsi="Cambria"/>
          <w:b/>
          <w:sz w:val="24"/>
        </w:rPr>
        <w:t>desde que não se utilize de linguagem e/ou recursos que objetivam convencer o eleitor ao voto (</w:t>
      </w:r>
      <w:bookmarkStart w:id="3" w:name="_Hlk47035669"/>
      <w:r>
        <w:rPr>
          <w:rFonts w:cs="Tahoma" w:ascii="Cambria" w:hAnsi="Cambria"/>
          <w:b/>
          <w:sz w:val="24"/>
        </w:rPr>
        <w:t>pedido explícito de votos ou uso das “palavras mágicas” equivalentes</w:t>
      </w:r>
      <w:bookmarkEnd w:id="3"/>
      <w:r>
        <w:rPr>
          <w:rFonts w:cs="Tahoma" w:ascii="Cambria" w:hAnsi="Cambria"/>
          <w:b/>
          <w:sz w:val="24"/>
        </w:rPr>
        <w:t xml:space="preserve">), </w:t>
      </w:r>
      <w:r>
        <w:rPr>
          <w:rFonts w:cs="Tahoma" w:ascii="Cambria" w:hAnsi="Cambria"/>
          <w:b/>
          <w:sz w:val="24"/>
          <w:u w:val="single"/>
        </w:rPr>
        <w:t>sendo que estes atos de pré-campanha poderão ter cobertura dos meios de comunicação social, inclusive via internet</w:t>
      </w:r>
      <w:r>
        <w:rPr>
          <w:rFonts w:cs="Tahoma" w:ascii="Cambria" w:hAnsi="Cambria"/>
          <w:sz w:val="24"/>
        </w:rPr>
        <w:t>;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701"/>
        <w:jc w:val="both"/>
        <w:rPr>
          <w:rFonts w:cs="Tahoma"/>
          <w:b/>
          <w:b/>
          <w:sz w:val="24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701"/>
        <w:jc w:val="both"/>
        <w:rPr>
          <w:rFonts w:ascii="Cambria" w:hAnsi="Cambria"/>
        </w:rPr>
      </w:pPr>
      <w:r>
        <w:rPr>
          <w:rFonts w:cs="Tahoma" w:ascii="Cambria" w:hAnsi="Cambria"/>
          <w:b/>
          <w:sz w:val="24"/>
        </w:rPr>
        <w:t>CONSIDERANDO</w:t>
      </w:r>
      <w:r>
        <w:rPr>
          <w:rFonts w:cs="Tahoma" w:ascii="Cambria" w:hAnsi="Cambria"/>
          <w:sz w:val="24"/>
        </w:rPr>
        <w:t xml:space="preserve">, ainda com base no art. 36-A, quando combinado com o art. 22-A, da mesma lei, que a divulgação dos atos de pré-campanha só pode dar-se no contexto do </w:t>
      </w:r>
      <w:r>
        <w:rPr>
          <w:rFonts w:cs="Tahoma" w:ascii="Cambria" w:hAnsi="Cambria"/>
          <w:sz w:val="24"/>
          <w:u w:val="single"/>
        </w:rPr>
        <w:t>desejável debate político, o qual deve ser igualitário</w:t>
      </w:r>
      <w:r>
        <w:rPr>
          <w:rFonts w:cs="Tahoma" w:ascii="Cambria" w:hAnsi="Cambria"/>
          <w:sz w:val="24"/>
        </w:rPr>
        <w:t xml:space="preserve">, observando-se as possibilidades do pré-candidato médio </w:t>
      </w:r>
      <w:r>
        <w:rPr>
          <w:rFonts w:cs="Tahoma" w:ascii="Cambria" w:hAnsi="Cambria"/>
        </w:rPr>
        <w:t xml:space="preserve">(TSE - AgRg-AI nº 924/SP - j. 26.06.2018) </w:t>
      </w:r>
      <w:r>
        <w:rPr>
          <w:rFonts w:cs="Tahoma" w:ascii="Cambria" w:hAnsi="Cambria"/>
          <w:sz w:val="24"/>
        </w:rPr>
        <w:t xml:space="preserve">e evitando violação ao princípio da igualdade de oportunidade entre os candidatos </w:t>
      </w:r>
      <w:r>
        <w:rPr>
          <w:rFonts w:cs="Tahoma" w:ascii="Cambria" w:hAnsi="Cambria"/>
          <w:color w:val="000000"/>
        </w:rPr>
        <w:t>(TSE - AgRg-AI nº 060009124/AP – j. 17.10.2019),</w:t>
      </w:r>
      <w:r>
        <w:rPr>
          <w:rFonts w:cs="Tahoma" w:ascii="Cambria" w:hAnsi="Cambria"/>
          <w:sz w:val="24"/>
        </w:rPr>
        <w:t xml:space="preserve"> já que a </w:t>
      </w:r>
      <w:r>
        <w:rPr>
          <w:rFonts w:cs="Tahoma" w:ascii="Cambria" w:hAnsi="Cambria"/>
          <w:b/>
          <w:sz w:val="24"/>
        </w:rPr>
        <w:t>lei só permite a arrecadação e o gasto de campanha após o pedido de registro, a obtenção do CNPJ da candidatura e a abertura da conta bancária específica, o que ocorrerá em 2020 apenas em final setembro</w:t>
      </w:r>
      <w:r>
        <w:rPr>
          <w:rFonts w:cs="Tahoma" w:ascii="Cambria" w:hAnsi="Cambria"/>
          <w:sz w:val="24"/>
        </w:rPr>
        <w:t>;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701"/>
        <w:jc w:val="both"/>
        <w:rPr>
          <w:rFonts w:cs="Tahoma"/>
          <w:b/>
          <w:b/>
          <w:sz w:val="24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701"/>
        <w:jc w:val="both"/>
        <w:rPr>
          <w:rFonts w:ascii="Cambria" w:hAnsi="Cambria"/>
        </w:rPr>
      </w:pPr>
      <w:r>
        <w:rPr>
          <w:rFonts w:cs="Tahoma" w:ascii="Cambria" w:hAnsi="Cambria"/>
          <w:b/>
          <w:sz w:val="24"/>
        </w:rPr>
        <w:t>CONSIDERANDO</w:t>
      </w:r>
      <w:r>
        <w:rPr>
          <w:rFonts w:cs="Tahoma" w:ascii="Cambria" w:hAnsi="Cambria"/>
          <w:sz w:val="24"/>
        </w:rPr>
        <w:t xml:space="preserve"> que o mesmo art. 36-A, quando interpretado em consonância com o microssistema legal da propaganda eleitoral</w:t>
      </w:r>
      <w:r>
        <w:rPr>
          <w:rFonts w:cs="Tahoma" w:ascii="Cambria" w:hAnsi="Cambria"/>
          <w:b/>
          <w:sz w:val="24"/>
        </w:rPr>
        <w:t>, não permite que a pré-campanha se utilize de meios e formas vedadas de veiculação de conteúdos eleitorais vedados durante a campanha, como a utilização de sites de pessoas jurídicas</w:t>
      </w:r>
      <w:r>
        <w:rPr>
          <w:rFonts w:cs="Tahoma" w:ascii="Cambria" w:hAnsi="Cambria"/>
          <w:sz w:val="24"/>
        </w:rPr>
        <w:t>, conforme art. 57-C, § 1º, inciso I, da Lei 9.504/97;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701"/>
        <w:jc w:val="both"/>
        <w:rPr>
          <w:rFonts w:cs="Tahoma"/>
          <w:b/>
          <w:b/>
          <w:sz w:val="24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701"/>
        <w:jc w:val="both"/>
        <w:rPr>
          <w:rFonts w:ascii="Cambria" w:hAnsi="Cambria"/>
        </w:rPr>
      </w:pPr>
      <w:r>
        <w:rPr>
          <w:rFonts w:cs="Tahoma" w:ascii="Cambria" w:hAnsi="Cambria"/>
          <w:b/>
          <w:sz w:val="24"/>
        </w:rPr>
        <w:t>CONSIDERANDO</w:t>
      </w:r>
      <w:r>
        <w:rPr>
          <w:rFonts w:cs="Tahoma" w:ascii="Cambria" w:hAnsi="Cambria"/>
          <w:sz w:val="24"/>
        </w:rPr>
        <w:t xml:space="preserve">, portanto, que </w:t>
      </w:r>
      <w:r>
        <w:rPr>
          <w:rFonts w:cs="Tahoma" w:ascii="Cambria" w:hAnsi="Cambria"/>
          <w:b/>
          <w:sz w:val="24"/>
        </w:rPr>
        <w:t xml:space="preserve">qualquer </w:t>
      </w:r>
      <w:r>
        <w:rPr>
          <w:rFonts w:cs="Tahoma" w:ascii="Cambria" w:hAnsi="Cambria"/>
          <w:b/>
          <w:sz w:val="24"/>
          <w:u w:val="single"/>
        </w:rPr>
        <w:t>propaganda eleitoral</w:t>
      </w:r>
      <w:r>
        <w:rPr>
          <w:rFonts w:cs="Tahoma" w:ascii="Cambria" w:hAnsi="Cambria"/>
          <w:b/>
          <w:sz w:val="24"/>
        </w:rPr>
        <w:t xml:space="preserve"> </w:t>
      </w:r>
      <w:r>
        <w:rPr>
          <w:rFonts w:cs="Tahoma" w:ascii="Cambria" w:hAnsi="Cambria"/>
          <w:b/>
          <w:sz w:val="24"/>
          <w:u w:val="single"/>
        </w:rPr>
        <w:t>paga</w:t>
      </w:r>
      <w:r>
        <w:rPr>
          <w:rFonts w:cs="Tahoma" w:ascii="Cambria" w:hAnsi="Cambria"/>
          <w:b/>
          <w:sz w:val="24"/>
        </w:rPr>
        <w:t xml:space="preserve"> ou mesmo </w:t>
      </w:r>
      <w:r>
        <w:rPr>
          <w:rFonts w:cs="Tahoma" w:ascii="Cambria" w:hAnsi="Cambria"/>
          <w:b/>
          <w:sz w:val="24"/>
          <w:u w:val="single"/>
        </w:rPr>
        <w:t>gratuita</w:t>
      </w:r>
      <w:r>
        <w:rPr>
          <w:rFonts w:cs="Tahoma" w:ascii="Cambria" w:hAnsi="Cambria"/>
          <w:b/>
          <w:sz w:val="24"/>
        </w:rPr>
        <w:t xml:space="preserve"> nos sites é proibida</w:t>
      </w:r>
      <w:r>
        <w:rPr>
          <w:rFonts w:cs="Tahoma" w:ascii="Cambria" w:hAnsi="Cambria"/>
          <w:sz w:val="24"/>
        </w:rPr>
        <w:t xml:space="preserve">, especialmente quando o conteúdo não se revele como mera opinião do editor, do redator, do apresentador ou do comentarista em favor de pré-candidatos ou partidos/coligações, fato este que pode </w:t>
      </w:r>
      <w:r>
        <w:rPr>
          <w:rFonts w:cs="Tahoma" w:ascii="Cambria" w:hAnsi="Cambria"/>
          <w:b/>
          <w:sz w:val="24"/>
        </w:rPr>
        <w:t>caracterizar infração à lei eleitoral passível de punição</w:t>
      </w:r>
      <w:r>
        <w:rPr>
          <w:rFonts w:cs="Tahoma" w:ascii="Cambria" w:hAnsi="Cambria"/>
          <w:sz w:val="24"/>
        </w:rPr>
        <w:t>;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701"/>
        <w:jc w:val="both"/>
        <w:rPr>
          <w:rFonts w:cs="Tahoma"/>
          <w:b/>
          <w:b/>
          <w:sz w:val="24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701"/>
        <w:jc w:val="both"/>
        <w:rPr>
          <w:rFonts w:ascii="Cambria" w:hAnsi="Cambria"/>
        </w:rPr>
      </w:pPr>
      <w:r>
        <w:rPr>
          <w:rFonts w:cs="Tahoma" w:ascii="Cambria" w:hAnsi="Cambria"/>
          <w:b/>
          <w:sz w:val="24"/>
        </w:rPr>
        <w:t>CONSIDERANDO</w:t>
      </w:r>
      <w:r>
        <w:rPr>
          <w:rFonts w:cs="Tahoma" w:ascii="Cambria" w:hAnsi="Cambria"/>
          <w:sz w:val="24"/>
        </w:rPr>
        <w:t xml:space="preserve"> que, segundo José Jairo Gomes, “sendo a internet um dos mais importantes meios de informação e comunicação da atualidade, não se vislumbram motivos juridicamente relevantes para se negar aos jornais e revistas editados virtualmente as mesmas possibilidades e prerrogativas conferidas aos impressos. (...) Assim, jornais e revistas virtuais – independentemente de possuírem versões impressas – </w:t>
      </w:r>
      <w:bookmarkStart w:id="4" w:name="_Hlk47038035"/>
      <w:r>
        <w:rPr>
          <w:rFonts w:cs="Tahoma" w:ascii="Cambria" w:hAnsi="Cambria"/>
          <w:sz w:val="24"/>
          <w:u w:val="single"/>
        </w:rPr>
        <w:t>podem publicar em seus sítios matérias contendo opinião favorável ou desfavorável a candidato ou partido, realizar entrevistas ou debates</w:t>
      </w:r>
      <w:r>
        <w:rPr>
          <w:rFonts w:cs="Tahoma" w:ascii="Cambria" w:hAnsi="Cambria"/>
          <w:sz w:val="24"/>
        </w:rPr>
        <w:t xml:space="preserve">, </w:t>
      </w:r>
      <w:r>
        <w:rPr>
          <w:rFonts w:cs="Tahoma" w:ascii="Cambria" w:hAnsi="Cambria"/>
          <w:b/>
          <w:sz w:val="24"/>
          <w:u w:val="single"/>
        </w:rPr>
        <w:t>desde que essas ações tenham caráter exclusivamente informativo ou jornalístico, sem qualquer conotação propagandística, promoção de candidatura ou contraprestação pecuniária</w:t>
      </w:r>
      <w:bookmarkEnd w:id="4"/>
      <w:r>
        <w:rPr>
          <w:rFonts w:cs="Tahoma" w:ascii="Cambria" w:hAnsi="Cambria"/>
          <w:sz w:val="24"/>
        </w:rPr>
        <w:t>.” (Direito Eleitoral. 15ª ed. São Paulo: Atlas, 2019, p. 579, grifou-se)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701"/>
        <w:jc w:val="both"/>
        <w:rPr>
          <w:rFonts w:cs="Tahoma"/>
          <w:b/>
          <w:b/>
          <w:sz w:val="24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701"/>
        <w:jc w:val="both"/>
        <w:rPr>
          <w:rFonts w:ascii="Cambria" w:hAnsi="Cambria"/>
        </w:rPr>
      </w:pPr>
      <w:r>
        <w:rPr>
          <w:rFonts w:cs="Tahoma" w:ascii="Cambria" w:hAnsi="Cambria"/>
          <w:b/>
          <w:sz w:val="24"/>
        </w:rPr>
        <w:t>CONSIDERANDO</w:t>
      </w:r>
      <w:r>
        <w:rPr>
          <w:rFonts w:cs="Tahoma" w:ascii="Cambria" w:hAnsi="Cambria"/>
          <w:sz w:val="24"/>
        </w:rPr>
        <w:t xml:space="preserve"> que a </w:t>
      </w:r>
      <w:r>
        <w:rPr>
          <w:rFonts w:cs="Tahoma" w:ascii="Cambria" w:hAnsi="Cambria"/>
          <w:b/>
          <w:sz w:val="24"/>
        </w:rPr>
        <w:t>liberdade de imprensa</w:t>
      </w:r>
      <w:r>
        <w:rPr>
          <w:rFonts w:cs="Tahoma" w:ascii="Cambria" w:hAnsi="Cambria"/>
          <w:sz w:val="24"/>
        </w:rPr>
        <w:t xml:space="preserve">, como garantia constitucional que </w:t>
      </w:r>
      <w:r>
        <w:rPr>
          <w:rFonts w:cs="Tahoma" w:ascii="Cambria" w:hAnsi="Cambria"/>
          <w:b/>
          <w:sz w:val="24"/>
          <w:u w:val="single"/>
        </w:rPr>
        <w:t>deve ser respeitada e protegida</w:t>
      </w:r>
      <w:r>
        <w:rPr>
          <w:rFonts w:cs="Tahoma" w:ascii="Cambria" w:hAnsi="Cambria"/>
          <w:sz w:val="24"/>
        </w:rPr>
        <w:t xml:space="preserve">, também sofre limitações decorrentes do princípio também constitucional da </w:t>
      </w:r>
      <w:r>
        <w:rPr>
          <w:rFonts w:cs="Tahoma" w:ascii="Cambria" w:hAnsi="Cambria"/>
          <w:b/>
          <w:sz w:val="24"/>
        </w:rPr>
        <w:t xml:space="preserve">igualdade de oportunidades </w:t>
      </w:r>
      <w:r>
        <w:rPr>
          <w:rFonts w:cs="Tahoma" w:ascii="Cambria" w:hAnsi="Cambria"/>
          <w:sz w:val="24"/>
        </w:rPr>
        <w:t>no processo eleitoral, como forma evitar um desiquilíbrio que possa comprometer a lisura e a legitimidade do pleito;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701"/>
        <w:jc w:val="both"/>
        <w:rPr>
          <w:rFonts w:cs="Tahoma"/>
          <w:b/>
          <w:b/>
          <w:sz w:val="24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701"/>
        <w:jc w:val="both"/>
        <w:rPr>
          <w:rFonts w:ascii="Cambria" w:hAnsi="Cambria"/>
        </w:rPr>
      </w:pPr>
      <w:r>
        <w:rPr>
          <w:rFonts w:cs="Tahoma" w:ascii="Cambria" w:hAnsi="Cambria"/>
          <w:b/>
          <w:sz w:val="24"/>
        </w:rPr>
        <w:t>CONSIDERANDO</w:t>
      </w:r>
      <w:r>
        <w:rPr>
          <w:rFonts w:cs="Tahoma" w:ascii="Cambria" w:hAnsi="Cambria"/>
          <w:sz w:val="24"/>
        </w:rPr>
        <w:t xml:space="preserve"> que a </w:t>
      </w:r>
      <w:r>
        <w:rPr>
          <w:rFonts w:cs="Tahoma" w:ascii="Cambria" w:hAnsi="Cambria"/>
          <w:b/>
          <w:sz w:val="24"/>
        </w:rPr>
        <w:t>divulgação de qualquer pesquisa eleitoral</w:t>
      </w:r>
      <w:r>
        <w:rPr>
          <w:rFonts w:cs="Tahoma" w:ascii="Cambria" w:hAnsi="Cambria"/>
          <w:sz w:val="24"/>
        </w:rPr>
        <w:t xml:space="preserve"> deve observar rigorosamente as disposições da Resolução TSE n. 23.600/2019;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701"/>
        <w:jc w:val="both"/>
        <w:rPr>
          <w:rFonts w:cs="Tahoma"/>
          <w:b/>
          <w:b/>
          <w:sz w:val="24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701"/>
        <w:jc w:val="both"/>
        <w:rPr>
          <w:rFonts w:ascii="Cambria" w:hAnsi="Cambria"/>
        </w:rPr>
      </w:pPr>
      <w:r>
        <w:rPr>
          <w:rFonts w:cs="Tahoma" w:ascii="Cambria" w:hAnsi="Cambria"/>
          <w:b/>
          <w:sz w:val="24"/>
        </w:rPr>
        <w:t>CONSIDERANDO</w:t>
      </w:r>
      <w:r>
        <w:rPr>
          <w:rFonts w:cs="Tahoma" w:ascii="Cambria" w:hAnsi="Cambria"/>
          <w:sz w:val="24"/>
        </w:rPr>
        <w:t xml:space="preserve"> que o Ministério Público Eleitoral, na defesa do regime democrático e da lisura do pleito, </w:t>
      </w:r>
      <w:r>
        <w:rPr>
          <w:rFonts w:cs="Tahoma" w:ascii="Cambria" w:hAnsi="Cambria"/>
          <w:b/>
          <w:sz w:val="24"/>
        </w:rPr>
        <w:t>pode e deve atuar preventivamente</w:t>
      </w:r>
      <w:r>
        <w:rPr>
          <w:rFonts w:cs="Tahoma" w:ascii="Cambria" w:hAnsi="Cambria"/>
          <w:sz w:val="24"/>
        </w:rPr>
        <w:t>, contribuindo para que se evitem os atos viciosos das eleições, bem como para que se produzam eleições limpas e legítimas;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701"/>
        <w:jc w:val="both"/>
        <w:rPr>
          <w:rFonts w:cs="Tahoma"/>
          <w:b/>
          <w:b/>
          <w:sz w:val="24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701"/>
        <w:jc w:val="both"/>
        <w:rPr>
          <w:rFonts w:ascii="Cambria" w:hAnsi="Cambria"/>
        </w:rPr>
      </w:pPr>
      <w:r>
        <w:rPr>
          <w:rFonts w:cs="Tahoma" w:ascii="Cambria" w:hAnsi="Cambria"/>
          <w:b/>
          <w:sz w:val="24"/>
        </w:rPr>
        <w:t>INFORMA,</w:t>
      </w:r>
      <w:r>
        <w:rPr>
          <w:rFonts w:cs="Tahoma" w:ascii="Cambria" w:hAnsi="Cambria"/>
          <w:sz w:val="24"/>
        </w:rPr>
        <w:t xml:space="preserve"> aos Srs. Responsáveis por </w:t>
      </w:r>
      <w:r>
        <w:rPr>
          <w:rFonts w:cs="Tahoma" w:ascii="Cambria" w:hAnsi="Cambria"/>
          <w:b/>
          <w:sz w:val="24"/>
        </w:rPr>
        <w:t xml:space="preserve">sites comerciais e/ou de notícias </w:t>
      </w:r>
      <w:r>
        <w:rPr>
          <w:rFonts w:cs="Tahoma" w:ascii="Cambria" w:hAnsi="Cambria"/>
          <w:sz w:val="24"/>
        </w:rPr>
        <w:t xml:space="preserve">desta Zona Eleitoral para que, em conformidade com a legislação eleitoral, </w:t>
      </w:r>
      <w:r>
        <w:rPr>
          <w:rFonts w:cs="Tahoma" w:ascii="Cambria" w:hAnsi="Cambria"/>
          <w:sz w:val="24"/>
          <w:u w:val="single"/>
        </w:rPr>
        <w:t xml:space="preserve">especialmente do artigo 57-A até o art. 57-J, da Lei n. 9504/97, </w:t>
      </w:r>
      <w:r>
        <w:rPr>
          <w:rFonts w:cs="Tahoma" w:ascii="Cambria" w:hAnsi="Cambria"/>
          <w:b/>
          <w:sz w:val="24"/>
          <w:u w:val="single"/>
        </w:rPr>
        <w:t>com destaque para o art. 57-C, da mesma Lei</w:t>
      </w:r>
      <w:r>
        <w:rPr>
          <w:rFonts w:cs="Tahoma" w:ascii="Cambria" w:hAnsi="Cambria"/>
          <w:sz w:val="24"/>
        </w:rPr>
        <w:t>: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701"/>
        <w:jc w:val="both"/>
        <w:rPr>
          <w:rFonts w:cs="Tahoma"/>
          <w:b/>
          <w:b/>
          <w:sz w:val="24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701"/>
        <w:jc w:val="both"/>
        <w:rPr>
          <w:rFonts w:ascii="Cambria" w:hAnsi="Cambria"/>
        </w:rPr>
      </w:pPr>
      <w:r>
        <w:rPr>
          <w:rFonts w:cs="Tahoma" w:ascii="Cambria" w:hAnsi="Cambria"/>
          <w:b/>
          <w:sz w:val="24"/>
        </w:rPr>
        <w:t>1)</w:t>
      </w:r>
      <w:r>
        <w:rPr>
          <w:rFonts w:cs="Tahoma" w:ascii="Cambria" w:hAnsi="Cambria"/>
          <w:sz w:val="24"/>
        </w:rPr>
        <w:t xml:space="preserve"> </w:t>
      </w:r>
      <w:r>
        <w:rPr>
          <w:rFonts w:cs="Tahoma" w:ascii="Cambria" w:hAnsi="Cambria"/>
          <w:sz w:val="24"/>
          <w:u w:val="single"/>
        </w:rPr>
        <w:t xml:space="preserve">evitem a divulgação de qualquer propaganda eleitoral </w:t>
      </w:r>
      <w:r>
        <w:rPr>
          <w:rFonts w:cs="Tahoma" w:ascii="Cambria" w:hAnsi="Cambria"/>
          <w:b/>
          <w:sz w:val="24"/>
          <w:u w:val="single"/>
        </w:rPr>
        <w:t>paga</w:t>
      </w:r>
      <w:r>
        <w:rPr>
          <w:rFonts w:cs="Tahoma" w:ascii="Cambria" w:hAnsi="Cambria"/>
          <w:sz w:val="24"/>
          <w:u w:val="single"/>
        </w:rPr>
        <w:t xml:space="preserve"> ou </w:t>
      </w:r>
      <w:r>
        <w:rPr>
          <w:rFonts w:cs="Tahoma" w:ascii="Cambria" w:hAnsi="Cambria"/>
          <w:b/>
          <w:sz w:val="24"/>
          <w:u w:val="single"/>
        </w:rPr>
        <w:t>gratuita</w:t>
      </w:r>
      <w:r>
        <w:rPr>
          <w:rFonts w:cs="Tahoma" w:ascii="Cambria" w:hAnsi="Cambria"/>
          <w:sz w:val="24"/>
          <w:u w:val="single"/>
        </w:rPr>
        <w:t xml:space="preserve"> em seus sites em favor de pré-candidatos, candidatos ou partidos políticos</w:t>
      </w:r>
      <w:r>
        <w:rPr>
          <w:rFonts w:cs="Tahoma" w:ascii="Cambria" w:hAnsi="Cambria"/>
          <w:sz w:val="24"/>
        </w:rPr>
        <w:t>, seja com</w:t>
      </w:r>
      <w:r>
        <w:rPr>
          <w:rFonts w:cs="Tahoma" w:ascii="Cambria" w:hAnsi="Cambria"/>
          <w:sz w:val="24"/>
          <w:u w:val="single"/>
        </w:rPr>
        <w:t xml:space="preserve"> </w:t>
      </w:r>
      <w:r>
        <w:rPr>
          <w:rFonts w:cs="Tahoma" w:ascii="Cambria" w:hAnsi="Cambria"/>
          <w:b/>
          <w:sz w:val="24"/>
        </w:rPr>
        <w:t>pedido explícito de votos, seja com o uso das “palavras mágicas” equivalentes</w:t>
      </w:r>
      <w:r>
        <w:rPr>
          <w:rFonts w:ascii="Cambria" w:hAnsi="Cambria"/>
        </w:rPr>
        <w:t xml:space="preserve">, </w:t>
      </w:r>
      <w:r>
        <w:rPr>
          <w:rFonts w:cs="Tahoma" w:ascii="Cambria" w:hAnsi="Cambria"/>
          <w:sz w:val="24"/>
        </w:rPr>
        <w:t>sob pena de violação do art. 57-C, da Lei 9.504/97;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701"/>
        <w:jc w:val="both"/>
        <w:rPr>
          <w:rFonts w:ascii="Cambria" w:hAnsi="Cambria"/>
        </w:rPr>
      </w:pPr>
      <w:r>
        <w:rPr>
          <w:rFonts w:cs="Tahoma" w:ascii="Cambria" w:hAnsi="Cambria"/>
          <w:b/>
          <w:sz w:val="24"/>
        </w:rPr>
        <w:t>2)</w:t>
      </w:r>
      <w:r>
        <w:rPr>
          <w:rFonts w:cs="Tahoma" w:ascii="Cambria" w:hAnsi="Cambria"/>
          <w:sz w:val="24"/>
        </w:rPr>
        <w:t xml:space="preserve"> na veiculação de informações, notícias, entrevistas ou debates </w:t>
      </w:r>
      <w:r>
        <w:rPr>
          <w:rFonts w:cs="Tahoma" w:ascii="Cambria" w:hAnsi="Cambria"/>
          <w:b/>
          <w:sz w:val="24"/>
        </w:rPr>
        <w:t>busquem assegurar a igualdade de oportunidades entre os candidatos e partidos</w:t>
      </w:r>
      <w:r>
        <w:rPr>
          <w:rFonts w:cs="Tahoma" w:ascii="Cambria" w:hAnsi="Cambria"/>
          <w:sz w:val="24"/>
        </w:rPr>
        <w:t xml:space="preserve">, bem como nas matérias contendo opiniões favoráveis ou desfavoráveis de pré-candidatos, candidatos ou partidos, ou contendo referências às qualidades ou defeitos pessoais ou das ações empreendidas ou a empreender, </w:t>
      </w:r>
      <w:r>
        <w:rPr>
          <w:rFonts w:cs="Tahoma" w:ascii="Cambria" w:hAnsi="Cambria"/>
          <w:b/>
          <w:sz w:val="24"/>
        </w:rPr>
        <w:t>não extrapolem o limite da garantia constitucional de liberdade de imprensa</w:t>
      </w:r>
      <w:r>
        <w:rPr>
          <w:rFonts w:cs="Tahoma" w:ascii="Cambria" w:hAnsi="Cambria"/>
          <w:sz w:val="24"/>
        </w:rPr>
        <w:t xml:space="preserve">, ou seja, </w:t>
      </w:r>
      <w:r>
        <w:rPr>
          <w:rFonts w:cs="Tahoma" w:ascii="Cambria" w:hAnsi="Cambria"/>
          <w:sz w:val="24"/>
          <w:u w:val="single"/>
        </w:rPr>
        <w:t>estas matérias devem ter caráter informativo e/ou jornalístico, sem qualquer conotação propagandística, promoção de candidatura ou contraprestação pecuniária</w:t>
      </w:r>
      <w:r>
        <w:rPr>
          <w:rFonts w:cs="Tahoma" w:ascii="Cambria" w:hAnsi="Cambria"/>
          <w:sz w:val="24"/>
        </w:rPr>
        <w:t>, sob pena de configurar propaganda eleitoral ou abuso de poder na utilização dos veículos de comunicação,</w:t>
      </w:r>
      <w:r>
        <w:rPr>
          <w:rFonts w:ascii="Cambria" w:hAnsi="Cambria"/>
        </w:rPr>
        <w:t xml:space="preserve"> </w:t>
      </w:r>
      <w:r>
        <w:rPr>
          <w:rFonts w:cs="Tahoma" w:ascii="Cambria" w:hAnsi="Cambria"/>
          <w:sz w:val="24"/>
        </w:rPr>
        <w:t>nos termos do art. 22, da Lei Complementar 64/90;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701"/>
        <w:jc w:val="both"/>
        <w:rPr>
          <w:rFonts w:ascii="Cambria" w:hAnsi="Cambria"/>
        </w:rPr>
      </w:pPr>
      <w:r>
        <w:rPr>
          <w:rFonts w:cs="Tahoma" w:ascii="Cambria" w:hAnsi="Cambria"/>
          <w:b/>
          <w:sz w:val="24"/>
        </w:rPr>
        <w:t>3)</w:t>
      </w:r>
      <w:r>
        <w:rPr>
          <w:rFonts w:cs="Tahoma" w:ascii="Cambria" w:hAnsi="Cambria"/>
          <w:sz w:val="24"/>
        </w:rPr>
        <w:t xml:space="preserve"> só divulguem pesquisas eleitorais nos ternos e na forma determinada pela Resolução TSE 23.600/2019, constando da divulgação todas as informações ali exigidas;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701"/>
        <w:jc w:val="both"/>
        <w:rPr>
          <w:rFonts w:ascii="Cambria" w:hAnsi="Cambria"/>
        </w:rPr>
      </w:pPr>
      <w:r>
        <w:rPr>
          <w:rFonts w:cs="Tahoma" w:ascii="Cambria" w:hAnsi="Cambria"/>
          <w:b/>
          <w:sz w:val="24"/>
        </w:rPr>
        <w:t>4)</w:t>
      </w:r>
      <w:r>
        <w:rPr>
          <w:rFonts w:cs="Tahoma" w:ascii="Cambria" w:hAnsi="Cambria"/>
          <w:sz w:val="24"/>
        </w:rPr>
        <w:t xml:space="preserve"> todos os seus colaboradores, editores, redatores, apresentadores e comentaristas sejam cientificados a adotarem as cautelas acima descritas.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701"/>
        <w:jc w:val="both"/>
        <w:rPr>
          <w:rFonts w:cs="Tahoma"/>
          <w:sz w:val="24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701"/>
        <w:jc w:val="both"/>
        <w:rPr>
          <w:rFonts w:ascii="Cambria" w:hAnsi="Cambria"/>
        </w:rPr>
      </w:pPr>
      <w:r>
        <w:rPr>
          <w:rFonts w:cs="Tahoma" w:ascii="Cambria" w:hAnsi="Cambria"/>
          <w:sz w:val="24"/>
        </w:rPr>
        <w:t xml:space="preserve">Por fim, lembra, que a interpretação e aplicação da lei são de responsabilidade do respectivo site com auxílio da sua assessoria jurídica, bem como que a inobservância das regras eleitorais sujeita os infratores às sanções previstas em Lei. </w:t>
      </w:r>
    </w:p>
    <w:p>
      <w:pPr>
        <w:pStyle w:val="Normal"/>
        <w:widowControl/>
        <w:suppressAutoHyphens w:val="true"/>
        <w:overflowPunct w:val="false"/>
        <w:bidi w:val="0"/>
        <w:spacing w:lineRule="auto" w:line="276" w:before="120" w:after="0"/>
        <w:ind w:left="0" w:right="0" w:firstLine="1701"/>
        <w:jc w:val="both"/>
        <w:rPr>
          <w:rFonts w:ascii="Cambria" w:hAnsi="Cambria"/>
        </w:rPr>
      </w:pPr>
      <w:r>
        <w:rPr>
          <w:rFonts w:cs="Tahoma" w:ascii="Cambria" w:hAnsi="Cambria"/>
          <w:sz w:val="24"/>
        </w:rPr>
        <w:t>Na oportunidade, renovamos protesto de elevada estima e consideração, ressaltando a importância da imprensa na defesa do regime democrático e para a realização de eleições limpas e legítimas.</w:t>
      </w:r>
    </w:p>
    <w:p>
      <w:pPr>
        <w:pStyle w:val="Normal"/>
        <w:spacing w:lineRule="auto" w:line="276" w:before="120" w:after="0"/>
        <w:jc w:val="center"/>
        <w:rPr>
          <w:rFonts w:ascii="Cambria" w:hAnsi="Cambria"/>
        </w:rPr>
      </w:pPr>
      <w:r>
        <w:rPr>
          <w:rFonts w:ascii="Cambria" w:hAnsi="Cambria"/>
        </w:rPr>
      </w:r>
      <w:bookmarkStart w:id="5" w:name="_GoBack"/>
      <w:bookmarkStart w:id="6" w:name="_GoBack"/>
      <w:bookmarkEnd w:id="6"/>
    </w:p>
    <w:p>
      <w:pPr>
        <w:pStyle w:val="Normal"/>
        <w:spacing w:lineRule="auto" w:line="276" w:before="120" w:after="0"/>
        <w:jc w:val="center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Tahoma" w:ascii="Cambria" w:hAnsi="Cambria"/>
          <w:b/>
          <w:bCs/>
          <w:color w:val="000000"/>
          <w:sz w:val="24"/>
          <w:szCs w:val="24"/>
          <w:shd w:fill="auto" w:val="clear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variable"/>
  </w:font>
  <w:font w:name="Cambri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LibreOffice/7.2.6.2$Windows_X86_64 LibreOffice_project/b0ec3a565991f7569a5a7f5d24fed7f52653d754</Application>
  <AppVersion>15.0000</AppVersion>
  <Pages>4</Pages>
  <Words>1246</Words>
  <Characters>7093</Characters>
  <CharactersWithSpaces>8329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2023-06-10T13:08:13Z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