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</w:rPr>
        <w:t xml:space="preserve">O </w:t>
      </w:r>
      <w:r>
        <w:rPr>
          <w:rFonts w:cs="Times New Roman" w:ascii="Cambria" w:hAnsi="Cambria"/>
          <w:b/>
          <w:sz w:val="24"/>
          <w:szCs w:val="24"/>
        </w:rPr>
        <w:t xml:space="preserve">MINISTÉRIO PÚBLICO ELEITORAL, </w:t>
      </w:r>
      <w:r>
        <w:rPr>
          <w:rFonts w:cs="Times New Roman" w:ascii="Cambria" w:hAnsi="Cambria"/>
          <w:sz w:val="24"/>
          <w:szCs w:val="24"/>
        </w:rPr>
        <w:t xml:space="preserve">através da Promotoria Eleitoral da ___ª Zona, no uso de suas atribuições legais e constitucionais, vem perante este honroso juízo se manifestar sobre a defesa e documentos apresentados nos autos da Representação por Doação acima do limite legal pelo representado _________________, nos seguintes termos.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</w:rPr>
        <w:t xml:space="preserve">No dia ___ de novembro de 2025, o Ministério Público Eleitoral ajuizou Representação por doação acima do limite legal em face de ___________________, em virtude de o mesma ter efetuado doações para campanhas eleitorais, uma em espécie, no valor de R$ 3.000,00 (três mil reais), mediante transferências eletrônicas.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sz w:val="24"/>
          <w:szCs w:val="24"/>
        </w:rPr>
        <w:t xml:space="preserve"> </w:t>
      </w:r>
      <w:r>
        <w:rPr>
          <w:rFonts w:cs="Times New Roman" w:ascii="Cambria" w:hAnsi="Cambria"/>
          <w:sz w:val="24"/>
          <w:szCs w:val="24"/>
        </w:rPr>
        <w:t xml:space="preserve">De acordo com o Relatório de Conhecimento nº _________/20__, gerado pelo SISCONTA ELEITORAL – Sistema de Investigação de Contas Eleitorais do Ministério Público Federal, a partir de informações prestadas pela Receita Federal do Brasil, as doações foram realizadas por doador que não apresentou Declaração de Imposto de Renda no ano-calendário 2023.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</w:rPr>
        <w:t>Na decisão de fls. ____, esse Juízo deferiu a quebra do sigilo fiscal do representado..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</w:rPr>
        <w:t xml:space="preserve">Após devidamente citado, o representado tinha até o dia ___ de _______ desta no para apresentar sua defesa, o que não o fez.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>No caso dos autos, o documento constante à fls. __, da Recita Federal do Brasil, em atendimento ao Ofício ___________.ªZE, informa-nos que de fato o representado NÃO APRESENTOU DECLARAÇÃO DE IMPOSTO DE RENDA no exercício 2024, ano-calendário 2023.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>Q</w:t>
      </w:r>
      <w:r>
        <w:rPr>
          <w:rFonts w:cs="Times New Roman" w:ascii="Cambria" w:hAnsi="Cambria"/>
          <w:sz w:val="24"/>
          <w:szCs w:val="24"/>
          <w:lang w:val="pt-BR"/>
        </w:rPr>
        <w:t>uando o contribuinte ostenta a qualidade de isento ou não apresenta declaração de imposto de renda afigura-se razoável estabelecer como base de cálculo o valor máximo previsto para a isenção em relação ao exercício 2024, ano-calendário 2023.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>O limite de isenção para o ano-calendário de 2023 foi de R$ XXXXX. Portanto, o doador isento poderia ter doado até R$ XXXXXX, que equivale a 10% do limite de isenção.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 xml:space="preserve">No caso dos autos, considerando a revelia do representado e levando em conta que o valor doado (R$ 3.000,00) ultrapassa o limite mínimo de 10% da isenção do imposto de renda, qual seja, R$ XXXXX, restou demonstrada a violação ao preceito legal estabelecido no artigo 23, parágrafo 1º e 3º da Lei nº 9.504, de 1997.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 xml:space="preserve">Impende salientar que, ainda que o valor excedido não tenha sido de grande monta, deve incidir a sanção prevista no artigo 23, § 3º, da Lei nº 9.504/97, não se aplicando o princípio da insignificância em sede de representação por doação acima do limite legal, conforme consolidada jurisprudência do Tribunal Superior Eleitoral, nos seguintes termos: 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eastAsia="Courier New" w:cs="Times New Roman"/>
          <w:bCs/>
          <w:sz w:val="22"/>
          <w:szCs w:val="22"/>
        </w:rPr>
      </w:pPr>
      <w:r>
        <w:rPr>
          <w:rFonts w:eastAsia="Courier New" w:cs="Times New Roman" w:ascii="Cambria" w:hAnsi="Cambria"/>
          <w:bCs/>
          <w:sz w:val="22"/>
          <w:szCs w:val="22"/>
        </w:rPr>
        <w:t>AGRAVO REGIMENTAL. RECURSO ESPECIAL. ELEIÇÕES 2014. DOAÇÃO ACIMA DO LIMITE. PESSOA FÍSICA. AJUSTE ANUAL DE IMPOSTO DE RENDA. CONTRIBUINTE ISENTO QUE DECLARA À RECEITA AUSÊNCIA DE RENDIMENTO. IMPOSSIBILIDADE DE FAZER DOAÇÕES. MULTA. DESPROVIMENTO.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eastAsia="Courier New" w:cs="Times New Roman"/>
          <w:bCs/>
          <w:sz w:val="22"/>
          <w:szCs w:val="22"/>
        </w:rPr>
      </w:pPr>
      <w:r>
        <w:rPr>
          <w:rFonts w:eastAsia="Courier New" w:cs="Times New Roman" w:ascii="Cambria" w:hAnsi="Cambria"/>
          <w:bCs/>
          <w:sz w:val="22"/>
          <w:szCs w:val="22"/>
        </w:rPr>
        <w:t>1. Autos recebidos no gabinete em 20.4.2017.2. No caso, o agravante apresentou à Receita Federal declaração de ajuste de imposto de renda em 2013 informando nenhum rendimento no exercício. Como fez doações eleitorais no total de R$ 1.500,00 em 2014, foi condenado a pagar multa em patamar mínimo, de cinco vezes esse valor, no montante de R$ 7.500,00.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eastAsia="Courier New" w:cs="Times New Roman"/>
          <w:bCs/>
          <w:sz w:val="22"/>
          <w:szCs w:val="22"/>
        </w:rPr>
      </w:pPr>
      <w:r>
        <w:rPr>
          <w:rFonts w:eastAsia="Courier New" w:cs="Times New Roman" w:ascii="Cambria" w:hAnsi="Cambria"/>
          <w:bCs/>
          <w:sz w:val="22"/>
          <w:szCs w:val="22"/>
        </w:rPr>
        <w:t>3. Descabe considerar o teto fiscal de isenção para aferir o limite de 10% de doações eleitorais por pessoa física, porquanto é inequívoco na espécie que o agravante não auferiu rendimentos. Precedentes.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eastAsia="Courier New" w:cs="Times New Roman"/>
          <w:b/>
          <w:b/>
          <w:bCs/>
          <w:sz w:val="22"/>
          <w:szCs w:val="22"/>
        </w:rPr>
      </w:pPr>
      <w:r>
        <w:rPr>
          <w:rFonts w:eastAsia="Courier New" w:cs="Times New Roman" w:ascii="Cambria" w:hAnsi="Cambria"/>
          <w:b/>
          <w:bCs/>
          <w:sz w:val="22"/>
          <w:szCs w:val="22"/>
        </w:rPr>
        <w:t>4. Inaplicável princípio da insignificância à doação de pessoa física para campanhas eleitorais que excede parâmetro legal, porquanto o ilícito se perfaz com mero extrapolamento do valor doado, sendo irrelevante a quantia em excesso. Precedentes.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eastAsia="Courier New" w:cs="Times New Roman"/>
          <w:bCs/>
          <w:sz w:val="22"/>
          <w:szCs w:val="22"/>
        </w:rPr>
      </w:pPr>
      <w:r>
        <w:rPr>
          <w:rFonts w:eastAsia="Courier New" w:cs="Times New Roman" w:ascii="Cambria" w:hAnsi="Cambria"/>
          <w:bCs/>
          <w:sz w:val="22"/>
          <w:szCs w:val="22"/>
        </w:rPr>
        <w:t>5. Agravo regimental não provido.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eastAsia="Courier New" w:cs="Times New Roman"/>
          <w:bCs/>
          <w:sz w:val="22"/>
          <w:szCs w:val="22"/>
        </w:rPr>
      </w:pPr>
      <w:r>
        <w:rPr>
          <w:rFonts w:eastAsia="Courier New" w:cs="Times New Roman" w:ascii="Cambria" w:hAnsi="Cambria"/>
          <w:bCs/>
          <w:sz w:val="22"/>
          <w:szCs w:val="22"/>
        </w:rPr>
        <w:t>(Recurso Especial Eleitoral nº 5761, Acórdão, Relator(a) Min. HERMAN BENJAMIN, Publicação: DJE - Diário de justiça eletrônico, Data 27/10/2017)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Times New Roman"/>
          <w:sz w:val="24"/>
          <w:szCs w:val="24"/>
          <w:lang w:val="pt-BR"/>
        </w:rPr>
      </w:pPr>
      <w:r>
        <w:rPr>
          <w:rFonts w:cs="Times New Roman" w:ascii="Cambria" w:hAnsi="Cambria"/>
          <w:sz w:val="24"/>
          <w:szCs w:val="24"/>
          <w:lang w:val="pt-BR"/>
        </w:rPr>
        <w:t>Por derradeiro, há que se ressaltar que a jurisprudência eleitoral, pontificada pelo TSE, tem entendido que a inelegibilidade não é “sanção” ou “pena” imposta pela procedência do pedido no âmbito de uma Representação por doação acima do limite legal, mas consequência da condenação a ser analisada em futuro e eventual requerimento de registro de candidatura (RESpe nº 38875, Rel. Min. Gilmar Mendes, 2014 e RESpe nº 2089, Relª. Minª. Luciana Lóssio, 2014).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>A única inelegibilidade aplicada como sanção é a prevista pelo art. 22, XIV, da LC nº 64/90, em razão de condenação em ação de investigação judicial eleitoral fundada nas hipóteses do caput do art. 22 do mesmo diploma normativo.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 xml:space="preserve">É orientada a anotação no cadastro do eleitor da inelegibilidade decorrente da condenação por doação irregular, após o trânsito em julgado ou decisão colegiada, a título de “ocorrência de inelegibilidade” (código ASE 540), para fins de controle em eventual e futuro processo de registro de candidatura, de modo a conferir eficácia à hipótese de restrição ao  </w:t>
      </w:r>
      <w:r>
        <w:rPr>
          <w:rFonts w:cs="Times New Roman" w:ascii="Cambria" w:hAnsi="Cambria"/>
          <w:b/>
          <w:i/>
          <w:sz w:val="24"/>
          <w:szCs w:val="24"/>
          <w:lang w:val="pt-BR"/>
        </w:rPr>
        <w:t>ius honorum</w:t>
      </w:r>
      <w:r>
        <w:rPr>
          <w:rFonts w:cs="Times New Roman" w:ascii="Cambria" w:hAnsi="Cambria"/>
          <w:sz w:val="24"/>
          <w:szCs w:val="24"/>
          <w:lang w:val="pt-BR"/>
        </w:rPr>
        <w:t xml:space="preserve"> contida no art. 1º, I, p, da LC nº 64/90.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  <w:lang w:val="pt-BR"/>
        </w:rPr>
        <w:t>Assim, não cabe a este Juízo Eleitoral condenar ou declarar o representado inelegível, mas deve se proceder à anotação da condenação por doação excessiva  inelegibilidade no seu cadastro eleitoral após a condenação em segunda instância ou trânsito em julgado da decisão condenatória (TSE. AgR-AI nº 8993, Relª. Minª. Luciana Lóssio, 2017, AgR-RESpe nº 171735, Relª. Minª. Rosa Weber, 2017 e AgR-AI nº 3126, Relª. Minª. Luciana Lóssio, 2016).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Times New Roman" w:ascii="Cambria" w:hAnsi="Cambria"/>
          <w:sz w:val="24"/>
          <w:szCs w:val="24"/>
        </w:rPr>
        <w:t xml:space="preserve">Ante o exposto, manifesta-se o </w:t>
      </w:r>
      <w:r>
        <w:rPr>
          <w:rFonts w:cs="Times New Roman" w:ascii="Cambria" w:hAnsi="Cambria"/>
          <w:b/>
          <w:sz w:val="24"/>
          <w:szCs w:val="24"/>
        </w:rPr>
        <w:t>Ministério Público Eleitoral pela PROCEDÊNCIA da representação</w:t>
      </w:r>
      <w:r>
        <w:rPr>
          <w:rFonts w:cs="Times New Roman" w:ascii="Cambria" w:hAnsi="Cambria"/>
          <w:sz w:val="24"/>
          <w:szCs w:val="24"/>
        </w:rPr>
        <w:t xml:space="preserve">, para condenar o representado à sanção prevista no artigo 23, parágrafos 1º e 3º, da Lei nº 9.504/97, porquanto demonstrada a realização de doação acima do limite legal.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Em virtude do disposto no artigo 1º, inciso I, alínea “p”, da Lei Complementar nº 64, de 1990, que prevê a inelegibilidade das pessoas físicas responsáveis por doações eleitorais tidas por ilegais por decisão transitada em julgado ou proferida por órgão colegiado da Justiça Eleitoral, pelo prazo de 8 (oito) anos após a decisão, requer o Ministério Público que seja realizada a anotação do teor da decisão no cadastro eleitoral do representado (código ASE 540), após confirmação por Órgão Colegiado ou trânsito em julgado 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4</Pages>
  <Words>972</Words>
  <Characters>5250</Characters>
  <CharactersWithSpaces>6207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2023-06-09T08:01:00Z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