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Ttulo3"/>
        <w:keepNext w:val="false"/>
        <w:widowControl w:val="false"/>
        <w:rPr/>
      </w:pPr>
      <w:r>
        <w:rPr>
          <w:rFonts w:cs="Cambria" w:ascii="Cambria" w:hAnsi="Cambria"/>
          <w:b/>
          <w:bCs/>
          <w:sz w:val="24"/>
          <w:szCs w:val="24"/>
          <w:lang w:eastAsia="pt-BR"/>
        </w:rPr>
        <w:t>Representação n. XXXXX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360" w:leader="none"/>
        </w:tabs>
        <w:suppressAutoHyphens w:val="false"/>
        <w:outlineLvl w:val="2"/>
        <w:rPr>
          <w:rFonts w:ascii="Cambria" w:hAnsi="Cambria" w:cs="Cambria"/>
          <w:b/>
          <w:b/>
          <w:bCs/>
          <w:sz w:val="24"/>
          <w:szCs w:val="24"/>
          <w:lang w:eastAsia="pt-BR"/>
        </w:rPr>
      </w:pPr>
      <w:r>
        <w:rPr>
          <w:rFonts w:cs="Cambria" w:ascii="Cambria" w:hAnsi="Cambria"/>
          <w:b/>
          <w:bCs/>
          <w:sz w:val="24"/>
          <w:szCs w:val="24"/>
          <w:lang w:eastAsia="pt-BR"/>
        </w:rPr>
      </w:r>
    </w:p>
    <w:p>
      <w:pPr>
        <w:pStyle w:val="Normal"/>
        <w:widowControl w:val="false"/>
        <w:suppressAutoHyphens w:val="false"/>
        <w:spacing w:lineRule="auto" w:line="360"/>
        <w:ind w:left="0" w:right="0" w:firstLine="2268"/>
        <w:jc w:val="both"/>
        <w:rPr>
          <w:rFonts w:ascii="Cambria" w:hAnsi="Cambria" w:cs="Cambria"/>
          <w:b/>
          <w:b/>
          <w:bCs/>
          <w:sz w:val="24"/>
          <w:szCs w:val="24"/>
          <w:lang w:eastAsia="pt-BR"/>
        </w:rPr>
      </w:pPr>
      <w:r>
        <w:rPr>
          <w:rFonts w:cs="Cambria" w:ascii="Cambria" w:hAnsi="Cambria"/>
          <w:b/>
          <w:bCs/>
          <w:sz w:val="24"/>
          <w:szCs w:val="24"/>
          <w:lang w:eastAsia="pt-BR"/>
        </w:rPr>
      </w:r>
    </w:p>
    <w:p>
      <w:pPr>
        <w:pStyle w:val="Normal"/>
        <w:widowControl w:val="false"/>
        <w:suppressAutoHyphens w:val="false"/>
        <w:spacing w:lineRule="auto" w:line="360"/>
        <w:ind w:left="0" w:right="0" w:firstLine="2268"/>
        <w:jc w:val="both"/>
        <w:rPr>
          <w:rFonts w:ascii="Cambria" w:hAnsi="Cambria" w:cs="Cambria"/>
          <w:b/>
          <w:b/>
          <w:bCs/>
          <w:sz w:val="24"/>
          <w:szCs w:val="24"/>
          <w:lang w:eastAsia="pt-BR"/>
        </w:rPr>
      </w:pPr>
      <w:r>
        <w:rPr>
          <w:rFonts w:cs="Cambria" w:ascii="Cambria" w:hAnsi="Cambria"/>
          <w:b/>
          <w:bCs/>
          <w:sz w:val="24"/>
          <w:szCs w:val="24"/>
          <w:lang w:eastAsia="pt-BR"/>
        </w:rPr>
      </w:r>
    </w:p>
    <w:p>
      <w:pPr>
        <w:pStyle w:val="Normal"/>
        <w:widowControl w:val="false"/>
        <w:suppressAutoHyphens w:val="false"/>
        <w:spacing w:lineRule="auto" w:line="360"/>
        <w:ind w:left="0" w:right="0" w:firstLine="2268"/>
        <w:jc w:val="both"/>
        <w:rPr>
          <w:rFonts w:ascii="Cambria" w:hAnsi="Cambria" w:cs="Cambria"/>
          <w:b/>
          <w:b/>
          <w:bCs/>
          <w:sz w:val="24"/>
          <w:szCs w:val="24"/>
          <w:lang w:eastAsia="pt-BR"/>
        </w:rPr>
      </w:pPr>
      <w:r>
        <w:rPr>
          <w:rFonts w:cs="Cambria" w:ascii="Cambria" w:hAnsi="Cambria"/>
          <w:b/>
          <w:bCs/>
          <w:sz w:val="24"/>
          <w:szCs w:val="24"/>
          <w:lang w:eastAsia="pt-BR"/>
        </w:rPr>
      </w:r>
    </w:p>
    <w:p>
      <w:pPr>
        <w:pStyle w:val="Normal"/>
        <w:widowControl w:val="false"/>
        <w:suppressAutoHyphens w:val="false"/>
        <w:spacing w:lineRule="auto" w:line="360"/>
        <w:ind w:left="0" w:right="0" w:firstLine="2268"/>
        <w:jc w:val="both"/>
        <w:rPr>
          <w:rFonts w:ascii="Cambria" w:hAnsi="Cambria" w:cs="Cambria"/>
          <w:b/>
          <w:b/>
          <w:bCs/>
          <w:sz w:val="24"/>
          <w:szCs w:val="24"/>
          <w:lang w:eastAsia="pt-BR"/>
        </w:rPr>
      </w:pPr>
      <w:r>
        <w:rPr>
          <w:rFonts w:cs="Cambria" w:ascii="Cambria" w:hAnsi="Cambria"/>
          <w:b/>
          <w:bCs/>
          <w:sz w:val="24"/>
          <w:szCs w:val="24"/>
          <w:lang w:eastAsia="pt-BR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O</w:t>
      </w:r>
      <w:r>
        <w:rPr>
          <w:rFonts w:eastAsia="Arial"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</w:rPr>
        <w:t>MINISTÉRIO</w:t>
      </w:r>
      <w:r>
        <w:rPr>
          <w:rFonts w:eastAsia="Arial" w:cs="Cambria" w:ascii="Cambria" w:hAnsi="Cambria"/>
          <w:b/>
          <w:bCs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</w:rPr>
        <w:t>PÚBLICO</w:t>
      </w:r>
      <w:r>
        <w:rPr>
          <w:rFonts w:eastAsia="Arial" w:cs="Cambria" w:ascii="Cambria" w:hAnsi="Cambria"/>
          <w:b/>
          <w:bCs/>
          <w:sz w:val="24"/>
          <w:szCs w:val="24"/>
        </w:rPr>
        <w:t xml:space="preserve"> ELEITORAL</w:t>
      </w:r>
      <w:r>
        <w:rPr>
          <w:rFonts w:cs="Cambria" w:ascii="Cambria" w:hAnsi="Cambria"/>
          <w:sz w:val="24"/>
          <w:szCs w:val="24"/>
        </w:rPr>
        <w:t xml:space="preserve">, por meio do Promotor de Justiça </w:t>
      </w:r>
      <w:r>
        <w:rPr>
          <w:rFonts w:eastAsia="Arial" w:cs="Cambria" w:ascii="Cambria" w:hAnsi="Cambria"/>
          <w:sz w:val="24"/>
          <w:szCs w:val="24"/>
        </w:rPr>
        <w:t xml:space="preserve">que esta subscreve, vem perante </w:t>
      </w:r>
      <w:r>
        <w:rPr>
          <w:rFonts w:cs="Cambria" w:ascii="Cambria" w:hAnsi="Cambria"/>
          <w:sz w:val="24"/>
          <w:szCs w:val="24"/>
        </w:rPr>
        <w:t>Vossa</w:t>
      </w:r>
      <w:r>
        <w:rPr>
          <w:rFonts w:eastAsia="Arial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 xml:space="preserve">Excelência com fundamento nos artigos 275 do Código Eleitoral e art. 1.022 do Código de Processo Civil, interpor </w:t>
      </w:r>
      <w:r>
        <w:rPr>
          <w:rFonts w:cs="Cambria" w:ascii="Cambria" w:hAnsi="Cambria"/>
          <w:b/>
          <w:sz w:val="24"/>
          <w:szCs w:val="24"/>
        </w:rPr>
        <w:t>EMBARGOS DE DECLARAÇÃO</w:t>
      </w:r>
      <w:r>
        <w:rPr>
          <w:rFonts w:cs="Cambria" w:ascii="Cambria" w:hAnsi="Cambria"/>
          <w:sz w:val="24"/>
          <w:szCs w:val="24"/>
        </w:rPr>
        <w:t>, pelas razões a seguir expostas.</w:t>
      </w:r>
    </w:p>
    <w:p>
      <w:pPr>
        <w:pStyle w:val="Normal"/>
        <w:spacing w:lineRule="auto" w:line="360"/>
        <w:ind w:left="0" w:right="0" w:hanging="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 xml:space="preserve">1.  </w:t>
      </w:r>
      <w:r>
        <w:rPr>
          <w:rFonts w:cs="Cambria" w:ascii="Cambria" w:hAnsi="Cambria"/>
          <w:b/>
          <w:sz w:val="24"/>
          <w:szCs w:val="24"/>
        </w:rPr>
        <w:t>DO CABIMENTO</w:t>
      </w:r>
    </w:p>
    <w:p>
      <w:pPr>
        <w:pStyle w:val="Normal"/>
        <w:spacing w:lineRule="auto" w:line="360"/>
        <w:ind w:left="0" w:right="0" w:firstLine="2835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70" w:after="17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Dispõe o Código Eleitoral que:</w:t>
      </w:r>
    </w:p>
    <w:p>
      <w:pPr>
        <w:pStyle w:val="Corpodotexto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left="2268" w:right="0" w:hanging="0"/>
        <w:jc w:val="both"/>
        <w:rPr>
          <w:rFonts w:ascii="Cambria" w:hAnsi="Cambria" w:cs="Cambri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Cambria" w:ascii="Cambria" w:hAnsi="Cambri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Art. 275. São admissíveis embargos de declaração nas hipóteses previstas no Código de Processo Civil. (Redação dada pela Lei nº 13.105, de 2015)</w:t>
      </w:r>
    </w:p>
    <w:p>
      <w:pPr>
        <w:pStyle w:val="Corpodotexto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left="2268" w:right="0" w:hanging="0"/>
        <w:jc w:val="both"/>
        <w:rPr/>
      </w:pPr>
      <w:r>
        <w:rPr>
          <w:rFonts w:cs="Cambria" w:ascii="Cambria" w:hAnsi="Cambri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§</w:t>
      </w:r>
      <w:r>
        <w:rPr>
          <w:rFonts w:cs="Cambria" w:ascii="Cambria" w:hAnsi="Cambria"/>
          <w:b w:val="false"/>
          <w:i w:val="false"/>
          <w:caps w:val="false"/>
          <w:smallCaps w:val="false"/>
          <w:color w:val="000000"/>
          <w:spacing w:val="0"/>
          <w:position w:val="0"/>
          <w:sz w:val="22"/>
          <w:sz w:val="22"/>
          <w:szCs w:val="22"/>
          <w:u w:val="none"/>
          <w:vertAlign w:val="baseline"/>
        </w:rPr>
        <w:t>1º O</w:t>
      </w:r>
      <w:r>
        <w:rPr>
          <w:rFonts w:cs="Cambria" w:ascii="Cambria" w:hAnsi="Cambria"/>
          <w:b w:val="false"/>
          <w:i w:val="false"/>
          <w:caps w:val="false"/>
          <w:smallCaps w:val="false"/>
          <w:color w:val="000000"/>
          <w:spacing w:val="0"/>
          <w:position w:val="0"/>
          <w:sz w:val="22"/>
          <w:sz w:val="22"/>
          <w:szCs w:val="22"/>
          <w:vertAlign w:val="baseline"/>
        </w:rPr>
        <w:t xml:space="preserve">s </w:t>
      </w:r>
      <w:r>
        <w:rPr>
          <w:rFonts w:cs="Cambria" w:ascii="Cambria" w:hAnsi="Cambri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embargos de declaração serão opostos no prazo de 3 (três) dias, contado da data de publicação da decisão embargada, em petição dirigida ao juiz ou relator, com a indicação do ponto que lhes deu causa.</w:t>
      </w:r>
    </w:p>
    <w:p>
      <w:pPr>
        <w:pStyle w:val="Corpodotexto"/>
        <w:widowControl/>
        <w:suppressAutoHyphens w:val="true"/>
        <w:kinsoku w:val="true"/>
        <w:overflowPunct w:val="true"/>
        <w:autoSpaceDE w:val="true"/>
        <w:bidi w:val="0"/>
        <w:spacing w:lineRule="auto" w:line="240" w:before="0" w:after="0"/>
        <w:ind w:left="2268" w:right="0" w:hanging="0"/>
        <w:jc w:val="both"/>
        <w:rPr>
          <w:rFonts w:ascii="Cambria" w:hAnsi="Cambria" w:cs="Cambri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70" w:after="17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O Código de Processo Civil preceitua que os embargos declaratórios podem ser interpostos contra qualquer decisão judicial para esclarecer obscuridade ou eliminar contradição, suprir omissão de ponto ou questão sobre o qual devia se pronunciar o juiz de ofício ou a requerimento ou corrigir erro material, conforme prevê o art. 1.022 do CPC:</w:t>
      </w:r>
    </w:p>
    <w:p>
      <w:pPr>
        <w:pStyle w:val="Normal"/>
        <w:spacing w:lineRule="auto" w:line="240" w:before="0" w:after="0"/>
        <w:ind w:left="2835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Art. 1.022. Cabem embargos de declaração contra qualquer decisão judicial para:</w:t>
      </w:r>
    </w:p>
    <w:p>
      <w:pPr>
        <w:pStyle w:val="Normal"/>
        <w:spacing w:lineRule="auto" w:line="240" w:before="0" w:after="0"/>
        <w:ind w:left="2835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I - esclarecer obscuridade ou eliminar contradição;</w:t>
      </w:r>
    </w:p>
    <w:p>
      <w:pPr>
        <w:pStyle w:val="Normal"/>
        <w:spacing w:lineRule="auto" w:line="240" w:before="0" w:after="0"/>
        <w:ind w:left="2835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II - suprir omissão de ponto ou questão sobre o qual devia se pronunciar o juiz de ofício ou a requerimento;</w:t>
      </w:r>
    </w:p>
    <w:p>
      <w:pPr>
        <w:pStyle w:val="Normal"/>
        <w:spacing w:lineRule="auto" w:line="240" w:before="0" w:after="0"/>
        <w:ind w:left="2835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III - corrigir erro material.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360" w:before="170" w:after="170"/>
        <w:ind w:left="0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ab/>
        <w:tab/>
      </w:r>
    </w:p>
    <w:p>
      <w:pPr>
        <w:pStyle w:val="Normal"/>
        <w:spacing w:lineRule="auto" w:line="360"/>
        <w:ind w:left="0" w:right="0" w:hanging="0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2. DOS FATOS</w:t>
      </w:r>
    </w:p>
    <w:p>
      <w:pPr>
        <w:pStyle w:val="Normal"/>
        <w:spacing w:lineRule="auto" w:line="360"/>
        <w:ind w:left="0" w:right="0" w:firstLine="2835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70" w:after="170"/>
        <w:ind w:left="0" w:right="0" w:firstLine="1701"/>
        <w:jc w:val="both"/>
        <w:rPr/>
      </w:pPr>
      <w:r>
        <w:rPr>
          <w:rFonts w:eastAsia="Times New Roman" w:cs="Cambria" w:ascii="Cambria" w:hAnsi="Cambria"/>
          <w:b w:val="false"/>
          <w:bCs w:val="false"/>
          <w:i w:val="false"/>
          <w:iCs w:val="false"/>
          <w:color w:val="000000"/>
          <w:sz w:val="24"/>
          <w:szCs w:val="24"/>
        </w:rPr>
        <w:t>Trata-se de Representação por Propaganda Eleitoral Antecipada ajuizada pelo Partido _____________ da cidade de ________/TO, em face de ________________, em virtude da publicação de vídeo no perfil pessoal do primeiro representado na rede social facebook.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70" w:after="17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Em manifestação de ID _________ o Ministério Público Eleitoral pugnou pela </w:t>
      </w:r>
      <w:r>
        <w:rPr>
          <w:rFonts w:eastAsia="Times New Roman" w:cs="Cambria" w:ascii="Cambria" w:hAnsi="Cambria"/>
          <w:b/>
          <w:bCs/>
          <w:i w:val="false"/>
          <w:iCs w:val="false"/>
          <w:color w:val="000000"/>
          <w:sz w:val="24"/>
          <w:szCs w:val="24"/>
        </w:rPr>
        <w:t>improcedência</w:t>
      </w:r>
      <w:r>
        <w:rPr>
          <w:rFonts w:eastAsia="Times New Roman" w:cs="Cambria" w:ascii="Cambria" w:hAnsi="Cambria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 representação pela propaganda eleitoral antecipada negativa e pela </w:t>
      </w:r>
      <w:r>
        <w:rPr>
          <w:rFonts w:eastAsia="Times New Roman" w:cs="Cambria" w:ascii="Cambria" w:hAnsi="Cambria"/>
          <w:b/>
          <w:bCs w:val="false"/>
          <w:i w:val="false"/>
          <w:iCs w:val="false"/>
          <w:color w:val="000000"/>
          <w:sz w:val="24"/>
          <w:szCs w:val="24"/>
        </w:rPr>
        <w:t>procedência</w:t>
      </w:r>
      <w:r>
        <w:rPr>
          <w:rFonts w:eastAsia="Times New Roman" w:cs="Cambria" w:ascii="Cambria" w:hAnsi="Cambria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 representação quanto à propaganda eleitoral antecipada em favor da pré-candidata _____________, pugnando pela consequente aplicação de multa aos representados nos termos do art. 36, §3º da Lei 9.504/97.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70" w:after="17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Ocorre que embora a sentença proferida nos autos tenha julgado improcedente a representação, esta foi omissa quanto à propaganda eleitoral antecipada em favor da pré-candidata ________________</w:t>
      </w:r>
      <w:r>
        <w:rPr>
          <w:rFonts w:eastAsia="Times New Roman" w:cs="Cambria" w:ascii="Cambria" w:hAnsi="Cambria"/>
          <w:b w:val="false"/>
          <w:bCs w:val="false"/>
          <w:i w:val="false"/>
          <w:iCs w:val="false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70" w:after="170"/>
        <w:ind w:left="0" w:right="0" w:firstLine="1701"/>
        <w:jc w:val="both"/>
        <w:rPr/>
      </w:pPr>
      <w:r>
        <w:rPr>
          <w:rFonts w:eastAsia="Times New Roman" w:cs="Cambria" w:ascii="Cambria" w:hAnsi="Cambria"/>
          <w:b w:val="false"/>
          <w:bCs w:val="false"/>
          <w:i w:val="false"/>
          <w:iCs w:val="false"/>
          <w:color w:val="auto"/>
          <w:sz w:val="24"/>
          <w:szCs w:val="24"/>
          <w:lang w:val="pt-BR" w:eastAsia="zxx" w:bidi="ar-SA"/>
        </w:rPr>
        <w:t>A</w:t>
      </w:r>
      <w:r>
        <w:rPr>
          <w:rFonts w:eastAsia="Times New Roman" w:cs="Cambria" w:ascii="Cambria" w:hAnsi="Cambria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omissão ocorre quando o julgado não se pronuncia sobre ponto ou questão suscitada pelas partes ou </w:t>
      </w:r>
      <w:r>
        <w:rPr>
          <w:rFonts w:eastAsia="Times New Roman" w:cs="Cambria" w:ascii="Cambria" w:hAnsi="Cambria"/>
          <w:b w:val="false"/>
          <w:bCs w:val="false"/>
          <w:i w:val="false"/>
          <w:iCs w:val="false"/>
          <w:color w:val="000000"/>
          <w:sz w:val="24"/>
          <w:szCs w:val="24"/>
          <w:lang w:val="pt-BR" w:eastAsia="zxx" w:bidi="ar-SA"/>
        </w:rPr>
        <w:t xml:space="preserve">sobre as quais </w:t>
      </w:r>
      <w:r>
        <w:rPr>
          <w:rFonts w:eastAsia="Times New Roman" w:cs="Cambria" w:ascii="Cambria" w:hAnsi="Cambria"/>
          <w:b w:val="false"/>
          <w:bCs w:val="false"/>
          <w:i w:val="false"/>
          <w:iCs w:val="false"/>
          <w:color w:val="000000"/>
          <w:sz w:val="24"/>
          <w:szCs w:val="24"/>
        </w:rPr>
        <w:t>o juiz deveria se pronunciar de ofício.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70" w:after="17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Segundo o artigo 1.022, II, do Código de Processo Civil, cabem embargos de declaração contra decisão judicial para o fim de suprir omissão de ponto ou questão sobre a qual devia se pronunciar o juiz de ofício ou a requerimento.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70" w:after="170"/>
        <w:ind w:left="0" w:right="0" w:firstLine="1701"/>
        <w:jc w:val="both"/>
        <w:rPr/>
      </w:pP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nte o exposto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 xml:space="preserve">, requer-se a Vossa Excelência o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 xml:space="preserve">provimento do presente recurso </w:t>
      </w:r>
      <w:r>
        <w:rPr>
          <w:rFonts w:eastAsia="Times New Roman" w:cs="Cambria" w:ascii="Cambria" w:hAnsi="Cambria"/>
          <w:b/>
          <w:bCs/>
          <w:color w:val="auto"/>
          <w:sz w:val="24"/>
          <w:szCs w:val="24"/>
          <w:lang w:val="pt-BR" w:eastAsia="zxx" w:bidi="ar-SA"/>
        </w:rPr>
        <w:t>para que seja sanada a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 xml:space="preserve"> omissão da sentença embargada quanto à propaganda eleitoral antecipada praticada pelos representados em favor da pré-candidatura de ________________,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 xml:space="preserve"> questão suscitada pela parte requerente na inicial e sobre a qual se manifestou o P</w:t>
      </w:r>
      <w:r>
        <w:rPr>
          <w:rFonts w:cs="Cambria" w:ascii="Cambria" w:hAnsi="Cambria"/>
          <w:b w:val="false"/>
          <w:bCs w:val="false"/>
          <w:i/>
          <w:iCs/>
          <w:color w:val="000000"/>
          <w:sz w:val="24"/>
          <w:szCs w:val="24"/>
        </w:rPr>
        <w:t xml:space="preserve">arquet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no parecer de ID ___________.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/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3</Pages>
  <Words>464</Words>
  <Characters>2570</Characters>
  <CharactersWithSpaces>3014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2023-06-08T12:11:44Z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