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Cambria"/>
          <w:sz w:val="24"/>
          <w:szCs w:val="24"/>
        </w:rPr>
      </w:pPr>
      <w:r>
        <w:rPr>
          <w:rFonts w:cs="Cambria" w:ascii="Cambria" w:hAnsi="Cambria"/>
          <w:sz w:val="24"/>
          <w:szCs w:val="24"/>
        </w:rPr>
        <w:t xml:space="preserve">Processo n.º: </w:t>
      </w:r>
    </w:p>
    <w:p>
      <w:pPr>
        <w:pStyle w:val="Normal"/>
        <w:spacing w:lineRule="auto" w:line="360"/>
        <w:jc w:val="both"/>
        <w:rPr>
          <w:rFonts w:ascii="Cambria" w:hAnsi="Cambria" w:cs="Cambria"/>
          <w:sz w:val="24"/>
          <w:szCs w:val="24"/>
        </w:rPr>
      </w:pPr>
      <w:r>
        <w:rPr>
          <w:rFonts w:cs="Cambria" w:ascii="Cambria" w:hAnsi="Cambria"/>
          <w:sz w:val="24"/>
          <w:szCs w:val="24"/>
        </w:rPr>
        <w:t>Procedimento de Prestação de Contas de Campanha</w:t>
      </w:r>
    </w:p>
    <w:p>
      <w:pPr>
        <w:pStyle w:val="Normal"/>
        <w:spacing w:lineRule="auto" w:line="360"/>
        <w:jc w:val="both"/>
        <w:rPr>
          <w:rFonts w:ascii="Cambria" w:hAnsi="Cambria" w:cs="Cambria"/>
          <w:sz w:val="24"/>
          <w:szCs w:val="24"/>
        </w:rPr>
      </w:pPr>
      <w:r>
        <w:rPr>
          <w:rFonts w:cs="Cambria" w:ascii="Cambria" w:hAnsi="Cambria"/>
          <w:sz w:val="24"/>
          <w:szCs w:val="24"/>
        </w:rPr>
        <w:t xml:space="preserve">Candidato: </w:t>
      </w:r>
    </w:p>
    <w:p>
      <w:pPr>
        <w:pStyle w:val="Normal"/>
        <w:spacing w:lineRule="auto" w:line="360"/>
        <w:jc w:val="both"/>
        <w:rPr>
          <w:rFonts w:ascii="Cambria" w:hAnsi="Cambria" w:cs="Cambria"/>
          <w:sz w:val="24"/>
          <w:szCs w:val="24"/>
        </w:rPr>
      </w:pPr>
      <w:r>
        <w:rPr>
          <w:rFonts w:cs="Cambria" w:ascii="Cambria" w:hAnsi="Cambria"/>
          <w:sz w:val="24"/>
          <w:szCs w:val="24"/>
        </w:rPr>
        <w:t xml:space="preserve">Partido/Coligação: </w:t>
      </w:r>
    </w:p>
    <w:p>
      <w:pPr>
        <w:pStyle w:val="Normal"/>
        <w:spacing w:lineRule="auto" w:line="360"/>
        <w:jc w:val="both"/>
        <w:rPr>
          <w:rFonts w:ascii="Cambria" w:hAnsi="Cambria" w:cs="Cambria"/>
          <w:sz w:val="24"/>
          <w:szCs w:val="24"/>
        </w:rPr>
      </w:pPr>
      <w:r>
        <w:rPr>
          <w:rFonts w:cs="Cambria" w:ascii="Cambria" w:hAnsi="Cambria"/>
          <w:sz w:val="24"/>
          <w:szCs w:val="24"/>
        </w:rPr>
      </w:r>
    </w:p>
    <w:p>
      <w:pPr>
        <w:pStyle w:val="Normal"/>
        <w:spacing w:lineRule="auto" w:line="360"/>
        <w:jc w:val="both"/>
        <w:rPr>
          <w:rFonts w:ascii="Cambria" w:hAnsi="Cambria" w:cs="Cambria"/>
          <w:sz w:val="24"/>
          <w:szCs w:val="24"/>
        </w:rPr>
      </w:pPr>
      <w:r>
        <w:rPr>
          <w:rFonts w:cs="Cambria" w:ascii="Cambria" w:hAnsi="Cambria"/>
          <w:sz w:val="24"/>
          <w:szCs w:val="24"/>
        </w:rPr>
      </w:r>
    </w:p>
    <w:p>
      <w:pPr>
        <w:pStyle w:val="Normal"/>
        <w:spacing w:lineRule="auto" w:line="360"/>
        <w:jc w:val="both"/>
        <w:rPr>
          <w:rFonts w:ascii="Cambria" w:hAnsi="Cambria" w:cs="Cambria"/>
          <w:sz w:val="24"/>
          <w:szCs w:val="24"/>
        </w:rPr>
      </w:pPr>
      <w:r>
        <w:rPr>
          <w:rFonts w:cs="Cambria" w:ascii="Cambria" w:hAnsi="Cambria"/>
          <w:sz w:val="24"/>
          <w:szCs w:val="24"/>
        </w:rPr>
      </w:r>
    </w:p>
    <w:p>
      <w:pPr>
        <w:pStyle w:val="Corpodetexto2"/>
        <w:rPr>
          <w:rFonts w:ascii="Cambria" w:hAnsi="Cambria" w:cs="Cambria"/>
          <w:sz w:val="24"/>
          <w:szCs w:val="24"/>
        </w:rPr>
      </w:pPr>
      <w:r>
        <w:rPr>
          <w:rFonts w:cs="Cambria" w:ascii="Cambria" w:hAnsi="Cambria"/>
          <w:sz w:val="24"/>
          <w:szCs w:val="24"/>
        </w:rPr>
        <w:t>Tratam os autos de processo de julgamento de contas alusivo ao candidato em epígrafe, os quais foram remetidos ao Ministério Público Eleitoral em virtude do trânsito em julgado da sentença que desaprovou as referidas contas.</w:t>
      </w:r>
    </w:p>
    <w:p>
      <w:pPr>
        <w:pStyle w:val="Normal"/>
        <w:spacing w:lineRule="auto" w:line="360"/>
        <w:ind w:left="0" w:right="0" w:firstLine="1416"/>
        <w:jc w:val="both"/>
        <w:rPr>
          <w:rFonts w:ascii="Cambria" w:hAnsi="Cambria" w:cs="Cambria"/>
          <w:color w:val="FF0000"/>
          <w:sz w:val="24"/>
          <w:szCs w:val="24"/>
        </w:rPr>
      </w:pPr>
      <w:r>
        <w:rPr>
          <w:rFonts w:cs="Cambria" w:ascii="Cambria" w:hAnsi="Cambria"/>
          <w:color w:val="FF0000"/>
          <w:sz w:val="24"/>
          <w:szCs w:val="24"/>
        </w:rPr>
      </w:r>
    </w:p>
    <w:p>
      <w:pPr>
        <w:pStyle w:val="Normal"/>
        <w:spacing w:lineRule="auto" w:line="360"/>
        <w:ind w:left="0" w:right="0" w:firstLine="1416"/>
        <w:jc w:val="both"/>
        <w:rPr/>
      </w:pPr>
      <w:r>
        <w:rPr>
          <w:rFonts w:cs="Cambria" w:ascii="Cambria" w:hAnsi="Cambria"/>
          <w:color w:val="auto"/>
          <w:sz w:val="24"/>
          <w:szCs w:val="24"/>
        </w:rPr>
        <w:t>Tendo em vista a informação conti</w:t>
      </w:r>
      <w:r>
        <w:rPr>
          <w:rFonts w:eastAsia="Times New Roman" w:cs="Cambria" w:ascii="Cambria" w:hAnsi="Cambria"/>
          <w:color w:val="auto"/>
          <w:sz w:val="24"/>
          <w:szCs w:val="24"/>
          <w:lang w:val="pt-BR" w:eastAsia="zh-CN" w:bidi="ar-SA"/>
        </w:rPr>
        <w:t xml:space="preserve">da no documento ID _________, importante salientar que todas as ações cíveis eleitorais direcionadas ao candidato nas Eleições Municipais 2024, inclusive a Ação de Investigação Judicial Eleitoral para </w:t>
      </w:r>
      <w:r>
        <w:rPr>
          <w:rFonts w:eastAsia="Times New Roman" w:cs="Cambria" w:ascii="Cambria" w:hAnsi="Cambria"/>
          <w:b w:val="false"/>
          <w:i w:val="false"/>
          <w:caps w:val="false"/>
          <w:smallCaps w:val="false"/>
          <w:color w:val="auto"/>
          <w:spacing w:val="0"/>
          <w:sz w:val="24"/>
          <w:szCs w:val="24"/>
          <w:lang w:val="pt-BR" w:eastAsia="zh-CN" w:bidi="ar-SA"/>
        </w:rPr>
        <w:t>apurar uso indevido, desvio ou abuso do poder econômico ou do poder de autoridade, ou utilização indevida de veículos ou meios de comunicação social, conforme disposto no Art. 22 da Lei das Inelegibilidades, foram alcançadas pelo instituto da decadência</w:t>
      </w:r>
      <w:r>
        <w:rPr>
          <w:rFonts w:cs="Cambria" w:ascii="Cambria" w:hAnsi="Cambria"/>
          <w:sz w:val="24"/>
          <w:szCs w:val="24"/>
        </w:rPr>
        <w:t>.</w:t>
      </w:r>
    </w:p>
    <w:p>
      <w:pPr>
        <w:pStyle w:val="Normal"/>
        <w:spacing w:lineRule="auto" w:line="360"/>
        <w:ind w:left="0" w:right="0" w:firstLine="1416"/>
        <w:jc w:val="both"/>
        <w:rPr>
          <w:rFonts w:ascii="Cambria" w:hAnsi="Cambria" w:cs="Cambria"/>
          <w:sz w:val="24"/>
          <w:szCs w:val="24"/>
        </w:rPr>
      </w:pPr>
      <w:r>
        <w:rPr>
          <w:rFonts w:cs="Cambria" w:ascii="Cambria" w:hAnsi="Cambria"/>
          <w:sz w:val="24"/>
          <w:szCs w:val="24"/>
        </w:rPr>
      </w:r>
    </w:p>
    <w:p>
      <w:pPr>
        <w:pStyle w:val="Normal"/>
        <w:spacing w:lineRule="auto" w:line="360"/>
        <w:ind w:left="0" w:right="0" w:firstLine="1416"/>
        <w:jc w:val="both"/>
        <w:rPr>
          <w:rFonts w:ascii="Cambria" w:hAnsi="Cambria"/>
          <w:color w:val="C9211E"/>
          <w:sz w:val="24"/>
          <w:szCs w:val="24"/>
        </w:rPr>
      </w:pPr>
      <w:r>
        <w:rPr>
          <w:rFonts w:cs="Arial" w:ascii="Cambria" w:hAnsi="Cambria"/>
          <w:color w:val="000000"/>
          <w:sz w:val="24"/>
          <w:szCs w:val="24"/>
        </w:rPr>
        <w:t>Assim, não obstante a possibilidade de análise de eventual fato típico penal na esfera adequada, o Ministério Público dá-se por ciente da informação.</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Corpodetexto2">
    <w:name w:val="Corpo de texto 2"/>
    <w:basedOn w:val="Normal"/>
    <w:qFormat/>
    <w:pPr>
      <w:spacing w:lineRule="auto" w:line="360"/>
      <w:ind w:left="0" w:right="0" w:firstLine="1416"/>
      <w:jc w:val="both"/>
    </w:pPr>
    <w:rPr>
      <w:rFonts w:ascii="Arial" w:hAnsi="Arial" w:cs="Arial"/>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1</Pages>
  <Words>157</Words>
  <Characters>929</Characters>
  <CharactersWithSpaces>1078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2023-06-10T19:57:34Z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