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PR</w:t>
      </w:r>
    </w:p>
    <w:p>
      <w:pPr>
        <w:pStyle w:val="Normal"/>
        <w:spacing w:lineRule="auto" w:line="360"/>
        <w:jc w:val="both"/>
        <w:rPr>
          <w:b/>
          <w:b/>
          <w:bCs/>
          <w:u w:val="single"/>
        </w:rPr>
      </w:pPr>
      <w:r>
        <w:rPr>
          <w:rFonts w:ascii="Cambria" w:hAnsi="Cambria"/>
          <w:b/>
          <w:bCs/>
          <w:color w:val="C9211E"/>
          <w:sz w:val="24"/>
          <w:szCs w:val="24"/>
          <w:u w:val="single"/>
        </w:rPr>
        <w:t>E</w:t>
      </w:r>
      <w:r>
        <w:rPr>
          <w:rFonts w:ascii="Cambria" w:hAnsi="Cambria"/>
          <w:b/>
          <w:bCs/>
          <w:color w:val="C9211E"/>
          <w:sz w:val="24"/>
          <w:szCs w:val="24"/>
          <w:u w:val="single"/>
        </w:rPr>
        <w:t>leições gerais</w:t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Cuidam os presentes autos de PAD (processo administrativo digital) originado a partir de denúncia de propaganda eleitoral antecipada realizada através da internet mediante publicação de um vídeo com música, frases de apoio, carreatas, inauguração de comitê político e outdoor de propaganda na cidade de _____/TO, com pedido explícito de voto com a utilização da expressão “vamos votar em __________ Presidente”.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 equipe de fiscalização da propaganda eleitoral lavrou auto de constatação ressaltando a veracidade da denúncia, verificando-se no mencionado vídeo, publicado na URL https://www._____________, no qual se constata a divulgação de um jingle com os dizeres “VAMOS VOTAR EM _____________ PRESIDENTE”, o que denota, inegavelmente, pedido explícito de voto.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Por entender que a divulgação efetivamente veiculava propaganda eleitoral antecipada, o Juízo da __ª Zona Eleitoral, no exercício do poder de polícia, a fim de restabelecer imediatamente a lisura e o equilíbrio na disputa eleitoral, determinou a remoção do conteúdo da internet no prazo de vinte e quatro horas, bem como determinou que não sejam realizadas novas postagens com o mesmo conteúdo.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 determinação judicial já foi devidamente cumprida, restando esclarecido que o Sr. __________ foi o responsável pela realização da propaganda eleitoral antecipada sob análise.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Por outro lado, não há elementos para se determinar se o candidato beneficiado tinha conhecimento e anuiu com a referida prática.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Pode-se concluir, portanto, que este Juízo Eleitoral já adotou as providências necessárias para cessar a mencionada propaganda eleitoral antecipada, esgotando sua atuação relativa ao exercício do poder de polícia.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Contudo, como a realização de propaganda eleitoral antecipada sujeita o seu responsável pela sua realização ao pagamento de multa, nos termos do artigo 36 da Lei nº 9.504/97 (Lei das Eleições), cabendo o ajuizamento da representação respectiva ao Procurador Regional Eleitoral, devem os presentes autos ser encaminhados ao referido Órgão do Ministério Público Eleitoral para, se assim o entender, ajuizar a ação para aplicação da sanção cabível. </w:t>
      </w:r>
    </w:p>
    <w:p>
      <w:pPr>
        <w:pStyle w:val="Normal1"/>
        <w:widowControl/>
        <w:bidi w:val="0"/>
        <w:spacing w:lineRule="auto" w:line="360" w:before="0" w:after="120"/>
        <w:ind w:left="0" w:right="0"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Isto posto, manifesta-se o Ministério Público Eleitoral pela remessa dos presentes autos ao Procurador Regional Eleitoral.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347</Words>
  <Characters>2054</Characters>
  <CharactersWithSpaces>2394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2023-06-08T11:51:16Z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