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TO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MINISTÉRIO PÚBLICO ELEITORAL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por seu </w:t>
      </w:r>
      <w:r>
        <w:rPr>
          <w:rFonts w:eastAsia="Cambria" w:cs="Cambria" w:ascii="Cambria" w:hAnsi="Cambria"/>
          <w:sz w:val="24"/>
          <w:szCs w:val="24"/>
        </w:rPr>
        <w:t>m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embro que ao final subscreve, no uso de suas atribuições legais e constitucionais, vem à ilustre presença de Vossa Excelência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propor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com fundamento nos arts. 127 da Constituição Federal e 72 e 78 da LC 75/1993, bem como no 32, III, da Resolução TSE 23.709/2</w:t>
      </w:r>
      <w:r>
        <w:rPr>
          <w:rFonts w:eastAsia="Cambria" w:cs="Cambria" w:ascii="Cambria" w:hAnsi="Cambria"/>
          <w:sz w:val="24"/>
          <w:szCs w:val="24"/>
        </w:rPr>
        <w:t xml:space="preserve">022, o presente requerimento de </w:t>
      </w:r>
      <w:r>
        <w:rPr>
          <w:rFonts w:eastAsia="Cambria" w:cs="Cambria" w:ascii="Cambria" w:hAnsi="Cambria"/>
          <w:b/>
          <w:sz w:val="24"/>
          <w:szCs w:val="24"/>
        </w:rPr>
        <w:t xml:space="preserve">CUMPRIMENTO DE SENTENÇA </w:t>
      </w:r>
      <w:r>
        <w:rPr>
          <w:rFonts w:eastAsia="Cambria" w:cs="Cambria" w:ascii="Cambria" w:hAnsi="Cambria"/>
          <w:sz w:val="24"/>
          <w:szCs w:val="24"/>
        </w:rPr>
        <w:t xml:space="preserve">em face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</w:rPr>
        <w:t xml:space="preserve">,, </w:t>
      </w:r>
      <w:r>
        <w:rPr>
          <w:rFonts w:eastAsia="Cambria" w:cs="Cambria" w:ascii="Cambria" w:hAnsi="Cambria"/>
          <w:color w:val="FF0000"/>
          <w:sz w:val="24"/>
          <w:szCs w:val="24"/>
        </w:rPr>
        <w:t>qualificação</w:t>
      </w:r>
      <w:r>
        <w:rPr>
          <w:rFonts w:eastAsia="Cambria" w:cs="Cambria" w:ascii="Cambria" w:hAnsi="Cambria"/>
          <w:sz w:val="24"/>
          <w:szCs w:val="24"/>
        </w:rPr>
        <w:t>, em razão dos fatos e fundamentos a seguir expostos.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>Preambularmente, é importante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esclarecer a necessidade do oferecimento d</w:t>
      </w:r>
      <w:r>
        <w:rPr>
          <w:rFonts w:eastAsia="Cambria" w:cs="Cambria" w:ascii="Cambria" w:hAnsi="Cambria"/>
          <w:sz w:val="24"/>
          <w:szCs w:val="24"/>
        </w:rPr>
        <w:t>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presente requerimento</w:t>
      </w:r>
      <w:r>
        <w:rPr>
          <w:rFonts w:eastAsia="Cambria" w:cs="Cambria" w:ascii="Cambria" w:hAnsi="Cambria"/>
          <w:sz w:val="24"/>
          <w:szCs w:val="24"/>
        </w:rPr>
        <w:t xml:space="preserve"> para o cumprimento da sentença proferida nos autos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 condenou o ora executado ao pagamento do importe de R$ </w:t>
      </w:r>
      <w:r>
        <w:rPr>
          <w:rFonts w:eastAsia="Cambria" w:cs="Cambria" w:ascii="Cambria" w:hAnsi="Cambria"/>
          <w:sz w:val="24"/>
          <w:szCs w:val="24"/>
          <w:highlight w:val="yellow"/>
        </w:rPr>
        <w:t>XXXX,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a título de multa eleitoral, pela prática de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>, quantia não adimplida no prazo e forma legais.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33, II, III, IV e V, da Resolução TSE 23.709/2022, o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parquet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 detém a legitimidade para tanto, subsidiária ou exclusiva, a depender do caso, sob pena de remessa dos autos a arquivo. Vejamos: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2267" w:right="0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  <w:highlight w:val="white"/>
        </w:rPr>
        <w:t xml:space="preserve">Art. 33. 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Cumpridas as determinações constantes do art. 32 desta resolução, a Secretaria Judiciária ou o cartório eleitoral deverá prosseguir da seguinte forma: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2267" w:right="0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(...)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 - intimar, de ofício, a Advocacia-Geral da União (AGU/PGU) e, quando houver, a parte credora para manifestar interesse no cumprimento definitivo de sentença no prazo de 30 (trinta) dias;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III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em caso de inércia ou de manifestação pela falta de interesse dos credores de que trata o inciso II deste artigo, intimar o Ministério Público Eleitoral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 para mesma finalidade e em idêntico prazo;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IV -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sendo os valores sujeitos à cobrança inferiores aos estabelecidos na Portaria do Ministério da Fazenda nº 75, de 22 de março de 2012, ou em outro instrumento normativo que venha a substituí-la, intimar imediatamente o Ministério Público Eleitoral para ingressar com o respectivo cumprimento de sentença, no prazo de 30 (trinta) dias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; e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 xml:space="preserve">V - decorridos os prazos previstos nos incisos II, III e IV deste artigo </w:t>
      </w:r>
      <w:r>
        <w:rPr>
          <w:rFonts w:eastAsia="Cambria" w:cs="Cambria" w:ascii="Cambria" w:hAnsi="Cambria"/>
          <w:b/>
          <w:sz w:val="22"/>
          <w:szCs w:val="22"/>
          <w:highlight w:val="white"/>
        </w:rPr>
        <w:t>sem manifestação dos legitimados, remeter os autos ao arquivo</w:t>
      </w:r>
      <w:r>
        <w:rPr>
          <w:rFonts w:eastAsia="Cambria" w:cs="Cambria" w:ascii="Cambria" w:hAnsi="Cambria"/>
          <w:sz w:val="22"/>
          <w:szCs w:val="22"/>
          <w:highlight w:val="white"/>
        </w:rPr>
        <w:t xml:space="preserve">, sem prejuízo de eventual desarquivamento, caso requerido. </w:t>
      </w:r>
    </w:p>
    <w:p>
      <w:pPr>
        <w:pStyle w:val="Normal1"/>
        <w:shd w:val="clear" w:fill="FFFFFF"/>
        <w:tabs>
          <w:tab w:val="clear" w:pos="708"/>
          <w:tab w:val="left" w:pos="1690" w:leader="none"/>
        </w:tabs>
        <w:spacing w:lineRule="auto" w:line="276" w:before="0" w:after="24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  <w:highlight w:val="white"/>
        </w:rPr>
        <w:t>(destacou-se)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color w:val="6B6B6B"/>
          <w:sz w:val="22"/>
          <w:szCs w:val="22"/>
          <w:highlight w:val="white"/>
        </w:rPr>
      </w:pPr>
      <w:r>
        <w:rPr>
          <w:rFonts w:eastAsia="Cambria" w:cs="Cambria" w:ascii="Cambria" w:hAnsi="Cambria"/>
          <w:color w:val="6B6B6B"/>
          <w:sz w:val="22"/>
          <w:szCs w:val="22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Nesse tanto, recebeu os autos com vista </w:t>
      </w:r>
      <w:r>
        <w:rPr>
          <w:rFonts w:eastAsia="Cambria" w:cs="Cambria" w:ascii="Cambria" w:hAnsi="Cambria"/>
          <w:color w:val="FF0000"/>
          <w:sz w:val="24"/>
          <w:szCs w:val="24"/>
          <w:highlight w:val="white"/>
        </w:rPr>
        <w:t>após inércia da Advocacia-Geral da União (AGU/PGU) OU do credor OU em razão do valor sujeito à cobrança ser inferior aos estabelecidos na Portaria do Ministério da Fazenda 75, de 22 de março de 2012</w:t>
      </w:r>
      <w:r>
        <w:rPr>
          <w:rFonts w:eastAsia="Cambria" w:cs="Cambria" w:ascii="Cambria" w:hAnsi="Cambria"/>
          <w:sz w:val="24"/>
          <w:szCs w:val="24"/>
          <w:highlight w:val="whit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 xml:space="preserve">Em consonância com o art. 34, </w:t>
      </w:r>
      <w:r>
        <w:rPr>
          <w:rFonts w:eastAsia="Cambria" w:cs="Cambria" w:ascii="Cambria" w:hAnsi="Cambria"/>
          <w:i/>
          <w:sz w:val="24"/>
          <w:szCs w:val="24"/>
          <w:highlight w:val="white"/>
        </w:rPr>
        <w:t>caput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da supramencionada Resolução, o procedimento a ser seguido é aquele previsto para o cumprimento de sentença de obrigação de pagar quantia certa do </w:t>
      </w:r>
      <w:r>
        <w:rPr>
          <w:rFonts w:eastAsia="Cambria" w:cs="Cambria" w:ascii="Cambria" w:hAnsi="Cambria"/>
          <w:sz w:val="24"/>
          <w:szCs w:val="24"/>
        </w:rPr>
        <w:t>Código de Processo Civil (CPC).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Consigna o art. 523 d</w:t>
      </w: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CPC: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Art. 523. No caso de condenação em quantia certa, ou já fixada em liquidação, e no caso de decisão sobre parcela incontroversa, o cumprimento definitivo da sentença far-se-á a requerimento do exequente, sendo o executado intimado para </w:t>
      </w:r>
      <w:r>
        <w:rPr>
          <w:rFonts w:eastAsia="Cambria" w:cs="Cambria" w:ascii="Cambria" w:hAnsi="Cambria"/>
          <w:b/>
          <w:sz w:val="22"/>
          <w:szCs w:val="22"/>
        </w:rPr>
        <w:t>pagar o débito, no prazo de 15 (quinze) dias</w:t>
      </w:r>
      <w:r>
        <w:rPr>
          <w:rFonts w:eastAsia="Cambria" w:cs="Cambria" w:ascii="Cambria" w:hAnsi="Cambria"/>
          <w:sz w:val="22"/>
          <w:szCs w:val="22"/>
        </w:rPr>
        <w:t>, acrescido de custas, se houver.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§ 1º </w:t>
      </w:r>
      <w:r>
        <w:rPr>
          <w:rFonts w:eastAsia="Cambria" w:cs="Cambria" w:ascii="Cambria" w:hAnsi="Cambria"/>
          <w:b/>
          <w:sz w:val="22"/>
          <w:szCs w:val="22"/>
        </w:rPr>
        <w:t xml:space="preserve">Não ocorrendo pagamento voluntário no prazo do </w:t>
      </w:r>
      <w:r>
        <w:rPr>
          <w:rFonts w:eastAsia="Cambria" w:cs="Cambria" w:ascii="Cambria" w:hAnsi="Cambria"/>
          <w:b/>
          <w:i/>
          <w:sz w:val="22"/>
          <w:szCs w:val="22"/>
        </w:rPr>
        <w:t>caput</w:t>
      </w:r>
      <w:r>
        <w:rPr>
          <w:rFonts w:eastAsia="Cambria" w:cs="Cambria" w:ascii="Cambria" w:hAnsi="Cambria"/>
          <w:b/>
          <w:sz w:val="22"/>
          <w:szCs w:val="22"/>
        </w:rPr>
        <w:t>, o débito será acrescido de multa de dez por cento</w:t>
      </w:r>
      <w:r>
        <w:rPr>
          <w:rFonts w:eastAsia="Cambria" w:cs="Cambria" w:ascii="Cambria" w:hAnsi="Cambria"/>
          <w:sz w:val="22"/>
          <w:szCs w:val="22"/>
        </w:rPr>
        <w:t xml:space="preserve"> e, também, de honorários de advogado de dez por cento.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2º Efetuado o pagamento parcial no prazo previsto no caput , a multa e os honorários previstos no § 1º incidirão sobre o restante.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§ 3º Não efetuado tempestivamente o pagamento voluntário, será expedido, desde logo, mandado de penhora e avaliação, seguindo-se os atos de expropriação.</w:t>
      </w:r>
    </w:p>
    <w:p>
      <w:pPr>
        <w:pStyle w:val="Normal1"/>
        <w:tabs>
          <w:tab w:val="clear" w:pos="708"/>
          <w:tab w:val="left" w:pos="1690" w:leader="none"/>
        </w:tabs>
        <w:spacing w:lineRule="auto" w:line="276" w:before="200" w:after="200"/>
        <w:ind w:left="2267" w:hanging="0"/>
        <w:jc w:val="both"/>
        <w:rPr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(destacou-se)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Cambria" w:cs="Cambria" w:ascii="Cambria" w:hAnsi="Cambria"/>
          <w:sz w:val="24"/>
          <w:szCs w:val="24"/>
        </w:rPr>
        <w:t xml:space="preserve">Verifica-se do ID </w:t>
      </w:r>
      <w:r>
        <w:rPr>
          <w:rFonts w:eastAsia="Cambria" w:cs="Cambria" w:ascii="Cambria" w:hAnsi="Cambria"/>
          <w:sz w:val="24"/>
          <w:szCs w:val="24"/>
          <w:highlight w:val="yellow"/>
        </w:rPr>
        <w:t>XXXX</w:t>
      </w:r>
      <w:r>
        <w:rPr>
          <w:rFonts w:eastAsia="Cambria" w:cs="Cambria" w:ascii="Cambria" w:hAnsi="Cambria"/>
          <w:sz w:val="24"/>
          <w:szCs w:val="24"/>
          <w:highlight w:val="white"/>
        </w:rPr>
        <w:t xml:space="preserve">, que, como se fez alusão, mesmo após o trânsito em julgado da sentença encartada no ID </w:t>
      </w:r>
      <w:r>
        <w:rPr>
          <w:rFonts w:eastAsia="Cambria" w:cs="Cambria" w:ascii="Cambria" w:hAnsi="Cambria"/>
          <w:sz w:val="24"/>
          <w:szCs w:val="24"/>
          <w:highlight w:val="yellow"/>
        </w:rPr>
        <w:t xml:space="preserve">XXXX </w:t>
      </w:r>
      <w:r>
        <w:rPr>
          <w:rFonts w:eastAsia="Cambria" w:cs="Cambria" w:ascii="Cambria" w:hAnsi="Cambria"/>
          <w:sz w:val="24"/>
          <w:szCs w:val="24"/>
          <w:highlight w:val="white"/>
        </w:rPr>
        <w:t>não houve pagamento do débito pelo ora executado.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firstLine="1700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  <w:t>Consigna-se a necessidade de atualização do valor da multa aplicada, com a juntada de memória de cálculo. com demonstrativo discriminado e atualização do crédito.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Ante o exposto, o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Ministério Público Eleitoral 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requer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a) a confecção e juntada aos autos da atualização discriminada do crédito devido pelo executado em face da multa que lhe fora aplicada;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2268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b) a </w:t>
      </w:r>
      <w:r>
        <w:rPr>
          <w:rFonts w:eastAsia="Cambria" w:cs="Cambria" w:ascii="Cambria" w:hAnsi="Cambria"/>
          <w:sz w:val="24"/>
          <w:szCs w:val="24"/>
        </w:rPr>
        <w:t>notificação</w:t>
      </w:r>
      <w:r>
        <w:rPr>
          <w:rFonts w:eastAsia="Cambria" w:cs="Cambria" w:ascii="Cambria" w:hAnsi="Cambria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executado para efetuar o pagamento do débito no prazo de 15 (quinze) dias, sob pena de incidência d</w:t>
      </w:r>
      <w:r>
        <w:rPr>
          <w:rFonts w:eastAsia="Cambria" w:cs="Cambria" w:ascii="Cambria" w:hAnsi="Cambria"/>
          <w:sz w:val="24"/>
          <w:szCs w:val="24"/>
        </w:rPr>
        <w:t>e multa de 10% sobre o valor devido;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8"/>
          <w:tab w:val="left" w:pos="1690" w:leader="none"/>
        </w:tabs>
        <w:spacing w:lineRule="auto" w:line="276" w:before="120" w:after="0"/>
        <w:ind w:left="0" w:righ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firstLine="1701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c) a expedição de mandado de penhora e avaliação, seguindo-se os atos de expropriação, em caso de não pagamento tempestivo, além da determinação de protesto da decisão e da inclusão do nome do executado no cadastro de inadimplentes, conforme expressa autorização do art. 34, §§ 2º e 3º da Resolução TSE 23.709/2022.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3</Pages>
  <Words>729</Words>
  <Characters>3735</Characters>
  <CharactersWithSpaces>4446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2023-06-09T09:00:47Z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