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uppressAutoHyphens w:val="true"/>
        <w:bidi w:val="0"/>
        <w:ind w:left="0" w:right="0" w:hanging="0"/>
        <w:jc w:val="center"/>
        <w:rPr>
          <w:rFonts w:ascii="Cambria" w:hAnsi="Cambria" w:cs="Arial"/>
          <w:b/>
          <w:b/>
          <w:sz w:val="24"/>
          <w:szCs w:val="24"/>
        </w:rPr>
      </w:pPr>
      <w:r>
        <w:rPr>
          <w:rFonts w:cs="Arial" w:ascii="Cambria" w:hAnsi="Cambria"/>
          <w:b/>
          <w:sz w:val="24"/>
          <w:szCs w:val="24"/>
        </w:rPr>
        <w:t>RECOMENDAÇÃO N.º _____/2024</w:t>
      </w:r>
    </w:p>
    <w:p>
      <w:pPr>
        <w:pStyle w:val="Normal"/>
        <w:ind w:left="0" w:right="0" w:firstLine="708"/>
        <w:jc w:val="center"/>
        <w:rPr>
          <w:rFonts w:ascii="Cambria" w:hAnsi="Cambria" w:cs="Arial"/>
          <w:b/>
          <w:b/>
          <w:sz w:val="24"/>
          <w:szCs w:val="24"/>
        </w:rPr>
      </w:pPr>
      <w:r>
        <w:rPr>
          <w:rFonts w:cs="Arial" w:ascii="Cambria" w:hAnsi="Cambria"/>
          <w:b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tLeast" w:line="10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spacing w:lineRule="atLeast" w:line="10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spacing w:lineRule="atLeast" w:line="10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spacing w:lineRule="atLeast" w:line="10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Book Antiqua" w:ascii="Cambria" w:hAnsi="Cambria"/>
          <w:b/>
          <w:sz w:val="24"/>
          <w:szCs w:val="24"/>
        </w:rPr>
        <w:t>XXXXX</w:t>
      </w:r>
      <w:r>
        <w:rPr>
          <w:rFonts w:cs="Book Antiqua" w:ascii="Cambria" w:hAnsi="Cambria"/>
          <w:sz w:val="24"/>
          <w:szCs w:val="24"/>
        </w:rPr>
        <w:t>, Promotor Eleitoral de __________, Estado do Tocantins, no exercício de suas atribuições e na forma do Art. 6º, XX, da Lei Complementar 75/93;</w:t>
      </w:r>
    </w:p>
    <w:p>
      <w:pPr>
        <w:pStyle w:val="Normal"/>
        <w:widowControl/>
        <w:suppressAutoHyphens w:val="true"/>
        <w:overflowPunct w:val="false"/>
        <w:bidi w:val="0"/>
        <w:spacing w:lineRule="atLeast" w:line="100" w:before="0" w:after="0"/>
        <w:ind w:left="0" w:right="0" w:hanging="0"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spacing w:lineRule="atLeast" w:line="10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Book Antiqua" w:ascii="Cambria" w:hAnsi="Cambria"/>
          <w:b/>
          <w:sz w:val="24"/>
          <w:szCs w:val="24"/>
        </w:rPr>
        <w:t>CONSIDERANDO</w:t>
      </w:r>
      <w:r>
        <w:rPr>
          <w:rFonts w:cs="Book Antiqua" w:ascii="Cambria" w:hAnsi="Cambria"/>
          <w:sz w:val="24"/>
          <w:szCs w:val="24"/>
        </w:rPr>
        <w:t xml:space="preserve"> que a propaganda eleitoral somente é permitida a partir de 16 de agosto;</w:t>
      </w:r>
    </w:p>
    <w:p>
      <w:pPr>
        <w:pStyle w:val="Normal"/>
        <w:widowControl/>
        <w:suppressAutoHyphens w:val="true"/>
        <w:overflowPunct w:val="false"/>
        <w:bidi w:val="0"/>
        <w:spacing w:lineRule="atLeast" w:line="10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spacing w:lineRule="atLeast" w:line="10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Book Antiqua" w:ascii="Cambria" w:hAnsi="Cambria"/>
          <w:b/>
          <w:sz w:val="24"/>
          <w:szCs w:val="24"/>
        </w:rPr>
        <w:t>CONSIDERANDO</w:t>
      </w:r>
      <w:r>
        <w:rPr>
          <w:rFonts w:cs="Book Antiqua" w:ascii="Cambria" w:hAnsi="Cambria"/>
          <w:sz w:val="24"/>
          <w:szCs w:val="24"/>
        </w:rPr>
        <w:t xml:space="preserve"> que a jurisprudência eleitoral entende como propaganda eleitoral o pedido de voto, ainda que disfarçado e subliminar (TSE, 2022), de candidatura a cargo eletivo, através de mensagens que, em contexto global, permitam aferir a captação de eleitor, ainda que não haja pedido direto de voto;</w:t>
      </w:r>
    </w:p>
    <w:p>
      <w:pPr>
        <w:pStyle w:val="Normal"/>
        <w:widowControl/>
        <w:suppressAutoHyphens w:val="true"/>
        <w:overflowPunct w:val="false"/>
        <w:bidi w:val="0"/>
        <w:spacing w:lineRule="atLeast" w:line="10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spacing w:lineRule="atLeast" w:line="10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Book Antiqua" w:ascii="Cambria" w:hAnsi="Cambria"/>
          <w:b/>
          <w:sz w:val="24"/>
          <w:szCs w:val="24"/>
        </w:rPr>
        <w:t>CONSIDERANDO</w:t>
      </w:r>
      <w:r>
        <w:rPr>
          <w:rFonts w:cs="Book Antiqua" w:ascii="Cambria" w:hAnsi="Cambria"/>
          <w:sz w:val="24"/>
          <w:szCs w:val="24"/>
        </w:rPr>
        <w:t xml:space="preserve"> que as exceções previstas no art. 36-A, da mesma Lei, autorizam </w:t>
      </w:r>
      <w:r>
        <w:rPr>
          <w:rFonts w:cs="Book Antiqua" w:ascii="Cambria" w:hAnsi="Cambria"/>
          <w:b/>
          <w:sz w:val="24"/>
          <w:szCs w:val="24"/>
          <w:u w:val="single"/>
        </w:rPr>
        <w:t>apenas</w:t>
      </w:r>
      <w:r>
        <w:rPr>
          <w:rFonts w:cs="Book Antiqua" w:ascii="Cambria" w:hAnsi="Cambria"/>
          <w:sz w:val="24"/>
          <w:szCs w:val="24"/>
        </w:rPr>
        <w:t xml:space="preserve"> a utilização de meios gratuitos de veiculação do debate político, onde é possível (1) anunciar a pré-candidatura, as qualidades pessoais e profissionais do pré-candidato, as ações por ele empreendidas e os seus projetos e programas de governo, (2) realizar entrevistas, debates e encontros no rádio e TV, guardando-se isonomia de oportunidade entre os concorrentes, bem como (3) divulgar atos parlamentares que não se desvirtuem para a propaganda eleitoral.</w:t>
      </w:r>
    </w:p>
    <w:p>
      <w:pPr>
        <w:pStyle w:val="Normal"/>
        <w:widowControl/>
        <w:suppressAutoHyphens w:val="true"/>
        <w:overflowPunct w:val="false"/>
        <w:bidi w:val="0"/>
        <w:spacing w:lineRule="atLeast" w:line="10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spacing w:lineRule="atLeast" w:line="10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Book Antiqua" w:ascii="Cambria" w:hAnsi="Cambria"/>
          <w:b/>
          <w:sz w:val="24"/>
          <w:szCs w:val="24"/>
        </w:rPr>
        <w:t>CONSIDERANDO</w:t>
      </w:r>
      <w:r>
        <w:rPr>
          <w:rFonts w:cs="Book Antiqua" w:ascii="Cambria" w:hAnsi="Cambria"/>
          <w:sz w:val="24"/>
          <w:szCs w:val="24"/>
        </w:rPr>
        <w:t xml:space="preserve"> que a lei eleitoral continua proibindo a arrecadação e o gasto de campanha antes do registro, da obtenção do CNPJ e da abertura da conta bancária. (salvo arrecadação por financiamento coletivo e liberação dos recursos no período de campanha e gastos módicos com impulsionamento de conteúdo não caracterizado como propaganda);</w:t>
      </w:r>
    </w:p>
    <w:p>
      <w:pPr>
        <w:pStyle w:val="Normal"/>
        <w:widowControl/>
        <w:suppressAutoHyphens w:val="true"/>
        <w:overflowPunct w:val="false"/>
        <w:bidi w:val="0"/>
        <w:spacing w:lineRule="atLeast" w:line="10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spacing w:lineRule="atLeast" w:line="10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Book Antiqua" w:ascii="Cambria" w:hAnsi="Cambria"/>
          <w:b/>
          <w:sz w:val="24"/>
          <w:szCs w:val="24"/>
        </w:rPr>
        <w:t>CONSIDERANDO</w:t>
      </w:r>
      <w:r>
        <w:rPr>
          <w:rFonts w:cs="Book Antiqua" w:ascii="Cambria" w:hAnsi="Cambria"/>
          <w:sz w:val="24"/>
          <w:szCs w:val="24"/>
        </w:rPr>
        <w:t xml:space="preserve"> que a propaganda eleitoral veiculada antes de 16 de-agosto, se não estiver nos estritos limites do art. 36-A, ou envolver pedido explícito de votos (inclusive com termos equivalentes),  caracteriza o ilícito eleitoral previsto no art. 36, § 3º, da mencionada lei, para o qual há previsão de multa de R$ 5.000,00 a R$ 25.000,00;</w:t>
      </w:r>
    </w:p>
    <w:p>
      <w:pPr>
        <w:pStyle w:val="Normal"/>
        <w:widowControl/>
        <w:suppressAutoHyphens w:val="true"/>
        <w:overflowPunct w:val="false"/>
        <w:bidi w:val="0"/>
        <w:spacing w:lineRule="atLeast" w:line="10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spacing w:lineRule="atLeast" w:line="10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Book Antiqua" w:ascii="Cambria" w:hAnsi="Cambria"/>
          <w:b/>
          <w:sz w:val="24"/>
          <w:szCs w:val="24"/>
        </w:rPr>
        <w:t>CONSIDERANDO</w:t>
      </w:r>
      <w:r>
        <w:rPr>
          <w:rFonts w:cs="Book Antiqua" w:ascii="Cambria" w:hAnsi="Cambria"/>
          <w:b/>
          <w:sz w:val="24"/>
          <w:szCs w:val="24"/>
        </w:rPr>
        <w:t xml:space="preserve"> </w:t>
      </w:r>
      <w:r>
        <w:rPr>
          <w:rFonts w:cs="Book Antiqua" w:ascii="Cambria" w:hAnsi="Cambria"/>
          <w:sz w:val="24"/>
          <w:szCs w:val="24"/>
        </w:rPr>
        <w:t xml:space="preserve">que a campanha eleitoral iniciada antes do período permitido pode, a depender da gravidade da conduta, caracterizar abuso de poder, punido com inelegibilidade e cassação do registro ou diploma, conforme dispõe os arts. 1º, I, “d”, e 22, XIV, ambos da LC n. 64/90; </w:t>
      </w:r>
    </w:p>
    <w:p>
      <w:pPr>
        <w:pStyle w:val="Normal"/>
        <w:widowControl/>
        <w:suppressAutoHyphens w:val="true"/>
        <w:overflowPunct w:val="false"/>
        <w:bidi w:val="0"/>
        <w:spacing w:lineRule="atLeast" w:line="10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spacing w:lineRule="atLeast" w:line="10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Book Antiqua" w:ascii="Cambria" w:hAnsi="Cambria"/>
          <w:b/>
          <w:bCs/>
          <w:sz w:val="24"/>
          <w:szCs w:val="24"/>
          <w:u w:val="none"/>
        </w:rPr>
        <w:t>CONSIDERANDO</w:t>
      </w:r>
      <w:r>
        <w:rPr>
          <w:rFonts w:cs="Book Antiqua" w:ascii="Cambria" w:hAnsi="Cambria"/>
          <w:b w:val="false"/>
          <w:bCs w:val="false"/>
          <w:sz w:val="24"/>
          <w:szCs w:val="24"/>
          <w:u w:val="none"/>
        </w:rPr>
        <w:t xml:space="preserve"> que a propaganda eleitoral irregular no período permitido também é proibida no período de pré-campanha;</w:t>
      </w:r>
    </w:p>
    <w:p>
      <w:pPr>
        <w:pStyle w:val="Normal"/>
        <w:widowControl/>
        <w:suppressAutoHyphens w:val="true"/>
        <w:overflowPunct w:val="false"/>
        <w:bidi w:val="0"/>
        <w:spacing w:lineRule="atLeast" w:line="10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spacing w:lineRule="atLeast" w:line="10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Book Antiqua" w:ascii="Cambria" w:hAnsi="Cambria"/>
          <w:b/>
          <w:bCs/>
          <w:sz w:val="24"/>
          <w:szCs w:val="24"/>
        </w:rPr>
        <w:t>CONSIDERANDO</w:t>
      </w:r>
      <w:r>
        <w:rPr>
          <w:rFonts w:cs="Book Antiqua" w:ascii="Cambria" w:hAnsi="Cambria"/>
          <w:bCs/>
          <w:sz w:val="24"/>
          <w:szCs w:val="24"/>
        </w:rPr>
        <w:t xml:space="preserve"> que o desembolso de recursos financeiros ou estimáveis em dinheiro para a confecção e veiculação da propaganda eleitoral antecipada implica em arrecadação e gasto em período vedado pela legislação;</w:t>
      </w:r>
    </w:p>
    <w:p>
      <w:pPr>
        <w:pStyle w:val="Normal"/>
        <w:widowControl/>
        <w:suppressAutoHyphens w:val="true"/>
        <w:overflowPunct w:val="false"/>
        <w:bidi w:val="0"/>
        <w:spacing w:lineRule="atLeast" w:line="10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spacing w:lineRule="atLeast" w:line="10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Book Antiqua" w:ascii="Cambria" w:hAnsi="Cambria"/>
          <w:b/>
          <w:bCs/>
          <w:sz w:val="24"/>
          <w:szCs w:val="24"/>
        </w:rPr>
        <w:t>CONSIDERANDO</w:t>
      </w:r>
      <w:r>
        <w:rPr>
          <w:rFonts w:cs="Book Antiqua" w:ascii="Cambria" w:hAnsi="Cambria"/>
          <w:bCs/>
          <w:sz w:val="24"/>
          <w:szCs w:val="24"/>
        </w:rPr>
        <w:t xml:space="preserve"> que a movimentação ilícita de recursos de campanha é infração cível eleitoral prevista no art. 30-A, da Lei das Eleições, com possibilidade de cassação do diploma;</w:t>
      </w:r>
    </w:p>
    <w:p>
      <w:pPr>
        <w:pStyle w:val="Normal"/>
        <w:widowControl/>
        <w:suppressAutoHyphens w:val="true"/>
        <w:overflowPunct w:val="false"/>
        <w:bidi w:val="0"/>
        <w:spacing w:lineRule="atLeast" w:line="10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spacing w:lineRule="atLeast" w:line="10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Book Antiqua" w:ascii="Cambria" w:hAnsi="Cambria"/>
          <w:b/>
          <w:bCs/>
          <w:sz w:val="24"/>
          <w:szCs w:val="24"/>
        </w:rPr>
        <w:t>CONSIDERANDO</w:t>
      </w:r>
      <w:r>
        <w:rPr>
          <w:rFonts w:cs="Book Antiqua" w:ascii="Cambria" w:hAnsi="Cambria"/>
          <w:bCs/>
          <w:sz w:val="24"/>
          <w:szCs w:val="24"/>
        </w:rPr>
        <w:t xml:space="preserve"> que o Ministério Público, na defesa do regime democrático e da lisura do pleito, busca</w:t>
      </w:r>
      <w:r>
        <w:rPr>
          <w:rFonts w:cs="Book Antiqua" w:ascii="Cambria" w:hAnsi="Cambria"/>
          <w:b/>
          <w:bCs/>
          <w:sz w:val="24"/>
          <w:szCs w:val="24"/>
          <w:u w:val="single"/>
        </w:rPr>
        <w:t xml:space="preserve"> atuar preventivamente</w:t>
      </w:r>
      <w:r>
        <w:rPr>
          <w:rFonts w:cs="Book Antiqua" w:ascii="Cambria" w:hAnsi="Cambria"/>
          <w:bCs/>
          <w:sz w:val="24"/>
          <w:szCs w:val="24"/>
        </w:rPr>
        <w:t>, contribuindo para que se evitem os atos viciosos das eleições – como os aqui indicados – e se produzam resultados eleitorais legítimos;</w:t>
      </w:r>
    </w:p>
    <w:p>
      <w:pPr>
        <w:pStyle w:val="Normal"/>
        <w:widowControl/>
        <w:suppressAutoHyphens w:val="true"/>
        <w:overflowPunct w:val="false"/>
        <w:bidi w:val="0"/>
        <w:spacing w:lineRule="atLeast" w:line="10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spacing w:lineRule="atLeast" w:line="10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Book Antiqua" w:ascii="Cambria" w:hAnsi="Cambria"/>
          <w:b/>
          <w:bCs/>
          <w:sz w:val="24"/>
          <w:szCs w:val="24"/>
        </w:rPr>
        <w:t>CONSIDERANDO</w:t>
      </w:r>
      <w:r>
        <w:rPr>
          <w:rFonts w:cs="Book Antiqua" w:ascii="Cambria" w:hAnsi="Cambria"/>
          <w:bCs/>
          <w:sz w:val="24"/>
          <w:szCs w:val="24"/>
        </w:rPr>
        <w:t xml:space="preserve"> que a recomendação do Ministério Público é </w:t>
      </w:r>
      <w:r>
        <w:rPr>
          <w:rFonts w:cs="Book Antiqua" w:ascii="Cambria" w:hAnsi="Cambria"/>
          <w:b/>
          <w:bCs/>
          <w:sz w:val="24"/>
          <w:szCs w:val="24"/>
          <w:u w:val="single"/>
        </w:rPr>
        <w:t>instrumento de orientação</w:t>
      </w:r>
      <w:r>
        <w:rPr>
          <w:rFonts w:cs="Book Antiqua" w:ascii="Cambria" w:hAnsi="Cambria"/>
          <w:bCs/>
          <w:sz w:val="24"/>
          <w:szCs w:val="24"/>
        </w:rPr>
        <w:t xml:space="preserve"> que visa antecipar-se ao cometimento do ilícito e evitar a imposição de sanções, muitas vezes graves e com repercussões importantes na candidatura, </w:t>
      </w:r>
    </w:p>
    <w:p>
      <w:pPr>
        <w:pStyle w:val="Normal"/>
        <w:widowControl/>
        <w:suppressAutoHyphens w:val="true"/>
        <w:overflowPunct w:val="false"/>
        <w:bidi w:val="0"/>
        <w:spacing w:lineRule="atLeast" w:line="10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spacing w:lineRule="atLeast" w:line="10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Book Antiqua" w:ascii="Cambria" w:hAnsi="Cambria"/>
          <w:b/>
          <w:bCs/>
          <w:sz w:val="24"/>
          <w:szCs w:val="24"/>
          <w:u w:val="single"/>
        </w:rPr>
        <w:t>RECOMENDA</w:t>
      </w:r>
      <w:r>
        <w:rPr>
          <w:rFonts w:cs="Book Antiqua" w:ascii="Cambria" w:hAnsi="Cambria"/>
          <w:b/>
          <w:bCs/>
          <w:sz w:val="24"/>
          <w:szCs w:val="24"/>
        </w:rPr>
        <w:t xml:space="preserve"> </w:t>
      </w:r>
    </w:p>
    <w:p>
      <w:pPr>
        <w:pStyle w:val="Normal"/>
        <w:widowControl/>
        <w:suppressAutoHyphens w:val="true"/>
        <w:overflowPunct w:val="false"/>
        <w:bidi w:val="0"/>
        <w:spacing w:lineRule="atLeast" w:line="10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spacing w:lineRule="atLeast" w:line="10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Book Antiqua" w:ascii="Cambria" w:hAnsi="Cambria"/>
          <w:sz w:val="24"/>
          <w:szCs w:val="24"/>
        </w:rPr>
        <w:t xml:space="preserve">aos Senhores </w:t>
      </w:r>
      <w:r>
        <w:rPr>
          <w:rFonts w:cs="Book Antiqua" w:ascii="Cambria" w:hAnsi="Cambria"/>
          <w:b/>
          <w:sz w:val="24"/>
          <w:szCs w:val="24"/>
        </w:rPr>
        <w:t>Dirigentes Partidários Municipais</w:t>
      </w:r>
      <w:r>
        <w:rPr>
          <w:rFonts w:cs="Book Antiqua" w:ascii="Cambria" w:hAnsi="Cambria"/>
          <w:sz w:val="24"/>
          <w:szCs w:val="24"/>
        </w:rPr>
        <w:t xml:space="preserve"> e</w:t>
      </w:r>
      <w:r>
        <w:rPr>
          <w:rFonts w:cs="Book Antiqua" w:ascii="Cambria" w:hAnsi="Cambria"/>
          <w:b/>
          <w:sz w:val="24"/>
          <w:szCs w:val="24"/>
        </w:rPr>
        <w:t xml:space="preserve"> aos pré-candidatos</w:t>
      </w:r>
      <w:r>
        <w:rPr>
          <w:rFonts w:cs="Book Antiqua" w:ascii="Cambria" w:hAnsi="Cambria"/>
          <w:sz w:val="24"/>
          <w:szCs w:val="24"/>
        </w:rPr>
        <w:t xml:space="preserve"> às eleições municipais de 2020 </w:t>
      </w:r>
    </w:p>
    <w:p>
      <w:pPr>
        <w:pStyle w:val="Normal"/>
        <w:widowControl/>
        <w:suppressAutoHyphens w:val="true"/>
        <w:overflowPunct w:val="false"/>
        <w:bidi w:val="0"/>
        <w:spacing w:lineRule="atLeast" w:line="10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spacing w:lineRule="atLeast" w:line="10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Book Antiqua" w:ascii="Cambria" w:hAnsi="Cambria"/>
          <w:sz w:val="24"/>
          <w:szCs w:val="24"/>
        </w:rPr>
        <w:t>Que se abstenham da veiculação, antes de 16 de agosto, de qualquer propaganda eleitoral a quem quer que venha a ser candidato às próximas eleições, pois tal conduta promove a pessoa ao público, caracterizando:</w:t>
      </w:r>
    </w:p>
    <w:p>
      <w:pPr>
        <w:pStyle w:val="Normal"/>
        <w:ind w:left="567" w:right="-284" w:hanging="0"/>
        <w:jc w:val="both"/>
        <w:rPr>
          <w:rFonts w:ascii="Cambria" w:hAnsi="Cambria" w:cs="Book Antiqua"/>
          <w:sz w:val="24"/>
          <w:szCs w:val="24"/>
        </w:rPr>
      </w:pPr>
      <w:r>
        <w:rPr>
          <w:rFonts w:cs="Book Antiqua" w:ascii="Cambria" w:hAnsi="Cambria"/>
          <w:sz w:val="24"/>
          <w:szCs w:val="24"/>
        </w:rPr>
      </w:r>
    </w:p>
    <w:p>
      <w:pPr>
        <w:pStyle w:val="Normal"/>
        <w:widowControl/>
        <w:numPr>
          <w:ilvl w:val="0"/>
          <w:numId w:val="2"/>
        </w:numPr>
        <w:suppressAutoHyphens w:val="true"/>
        <w:overflowPunct w:val="false"/>
        <w:bidi w:val="0"/>
        <w:spacing w:before="0" w:after="0"/>
        <w:ind w:left="2041" w:right="-283" w:hanging="340"/>
        <w:jc w:val="both"/>
        <w:rPr>
          <w:rFonts w:ascii="Cambria" w:hAnsi="Cambria" w:cs="Book Antiqua"/>
          <w:sz w:val="24"/>
          <w:szCs w:val="24"/>
        </w:rPr>
      </w:pPr>
      <w:r>
        <w:rPr>
          <w:rFonts w:cs="Book Antiqua" w:ascii="Cambria" w:hAnsi="Cambria"/>
          <w:sz w:val="24"/>
          <w:szCs w:val="24"/>
        </w:rPr>
        <w:t>Propaganda eleitoral extemporânea (art. 36, § 3º, da Lei 9.504/97), sujeitando-se o infrator e o beneficiário à multa eleitoral de R$ 5.000,00 a R$ 25.000,00;</w:t>
      </w:r>
    </w:p>
    <w:p>
      <w:pPr>
        <w:pStyle w:val="Normal"/>
        <w:ind w:left="1287" w:right="-284" w:hanging="0"/>
        <w:jc w:val="both"/>
        <w:rPr>
          <w:rFonts w:ascii="Cambria" w:hAnsi="Cambria" w:cs="Book Antiqua"/>
          <w:sz w:val="24"/>
          <w:szCs w:val="24"/>
        </w:rPr>
      </w:pPr>
      <w:r>
        <w:rPr>
          <w:rFonts w:cs="Book Antiqua" w:ascii="Cambria" w:hAnsi="Cambria"/>
          <w:sz w:val="24"/>
          <w:szCs w:val="24"/>
        </w:rPr>
      </w:r>
    </w:p>
    <w:p>
      <w:pPr>
        <w:pStyle w:val="Normal"/>
        <w:widowControl/>
        <w:numPr>
          <w:ilvl w:val="0"/>
          <w:numId w:val="2"/>
        </w:numPr>
        <w:suppressAutoHyphens w:val="true"/>
        <w:overflowPunct w:val="false"/>
        <w:bidi w:val="0"/>
        <w:spacing w:before="0" w:after="0"/>
        <w:ind w:left="2041" w:right="-283" w:hanging="340"/>
        <w:jc w:val="both"/>
        <w:rPr>
          <w:rFonts w:ascii="Cambria" w:hAnsi="Cambria" w:cs="Book Antiqua"/>
          <w:sz w:val="24"/>
          <w:szCs w:val="24"/>
        </w:rPr>
      </w:pPr>
      <w:r>
        <w:rPr>
          <w:rFonts w:cs="Book Antiqua" w:ascii="Cambria" w:hAnsi="Cambria"/>
          <w:sz w:val="24"/>
          <w:szCs w:val="24"/>
        </w:rPr>
        <w:t>Abuso do poder econômico ou uso indevido de meios de comunicação, levando o agente à inelegibilidade e o candidato à cassação do registro ou do diploma (art. 1º, inciso I, alínea “d”, c/c 22, inciso XIV, da LC 64/90) e à desconstituição do mandato eletivo (art. 14, § 10, da CF/88);</w:t>
      </w:r>
    </w:p>
    <w:p>
      <w:pPr>
        <w:pStyle w:val="Normal"/>
        <w:ind w:left="1287" w:right="-284" w:hanging="0"/>
        <w:jc w:val="both"/>
        <w:rPr>
          <w:rFonts w:ascii="Cambria" w:hAnsi="Cambria" w:cs="Book Antiqua"/>
          <w:sz w:val="24"/>
          <w:szCs w:val="24"/>
        </w:rPr>
      </w:pPr>
      <w:r>
        <w:rPr>
          <w:rFonts w:cs="Book Antiqua" w:ascii="Cambria" w:hAnsi="Cambria"/>
          <w:sz w:val="24"/>
          <w:szCs w:val="24"/>
        </w:rPr>
      </w:r>
    </w:p>
    <w:p>
      <w:pPr>
        <w:pStyle w:val="Normal"/>
        <w:widowControl/>
        <w:numPr>
          <w:ilvl w:val="0"/>
          <w:numId w:val="2"/>
        </w:numPr>
        <w:suppressAutoHyphens w:val="true"/>
        <w:overflowPunct w:val="false"/>
        <w:bidi w:val="0"/>
        <w:spacing w:before="0" w:after="0"/>
        <w:ind w:left="2041" w:right="-283" w:hanging="340"/>
        <w:jc w:val="both"/>
        <w:rPr>
          <w:rFonts w:ascii="Cambria" w:hAnsi="Cambria" w:cs="Book Antiqua"/>
          <w:sz w:val="24"/>
          <w:szCs w:val="24"/>
        </w:rPr>
      </w:pPr>
      <w:r>
        <w:rPr>
          <w:rFonts w:cs="Book Antiqua" w:ascii="Cambria" w:hAnsi="Cambria"/>
          <w:sz w:val="24"/>
          <w:szCs w:val="24"/>
        </w:rPr>
        <w:t xml:space="preserve">Movimentação ilícita de recursos de campanha, com previsão de cassação do diploma (art. 30-A, da Lei n. 9.504/97). </w:t>
      </w:r>
    </w:p>
    <w:p>
      <w:pPr>
        <w:pStyle w:val="Normal"/>
        <w:ind w:left="567" w:right="-284" w:hanging="0"/>
        <w:jc w:val="both"/>
        <w:rPr>
          <w:rFonts w:ascii="Cambria" w:hAnsi="Cambria" w:cs="Book Antiqua"/>
          <w:sz w:val="24"/>
          <w:szCs w:val="24"/>
        </w:rPr>
      </w:pPr>
      <w:r>
        <w:rPr>
          <w:rFonts w:cs="Book Antiqua" w:ascii="Cambria" w:hAnsi="Cambria"/>
          <w:sz w:val="24"/>
          <w:szCs w:val="24"/>
        </w:rPr>
      </w:r>
    </w:p>
    <w:p>
      <w:pPr>
        <w:pStyle w:val="Normal"/>
        <w:ind w:left="567" w:right="-284" w:hanging="0"/>
        <w:jc w:val="right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ind w:left="567" w:right="-284" w:hanging="0"/>
        <w:jc w:val="right"/>
        <w:rPr>
          <w:rFonts w:ascii="Cambria" w:hAnsi="Cambria"/>
          <w:sz w:val="24"/>
          <w:szCs w:val="24"/>
        </w:rPr>
      </w:pPr>
      <w:r>
        <w:rPr>
          <w:rFonts w:cs="Book Antiqua" w:ascii="Cambria" w:hAnsi="Cambria"/>
          <w:sz w:val="24"/>
          <w:szCs w:val="24"/>
        </w:rPr>
        <w:t>Local</w:t>
      </w:r>
      <w:r>
        <w:rPr>
          <w:rFonts w:cs="Book Antiqua" w:ascii="Cambria" w:hAnsi="Cambria"/>
          <w:sz w:val="24"/>
          <w:szCs w:val="24"/>
        </w:rPr>
        <w:t xml:space="preserve"> e data.</w:t>
      </w:r>
    </w:p>
    <w:p>
      <w:pPr>
        <w:pStyle w:val="Normal"/>
        <w:spacing w:lineRule="auto" w:line="360"/>
        <w:ind w:left="567" w:right="-284" w:hanging="0"/>
        <w:jc w:val="center"/>
        <w:rPr>
          <w:rFonts w:ascii="Cambria" w:hAnsi="Cambria" w:cs="Book Antiqua"/>
          <w:sz w:val="24"/>
          <w:szCs w:val="24"/>
        </w:rPr>
      </w:pPr>
      <w:r>
        <w:rPr>
          <w:rFonts w:cs="Book Antiqua" w:ascii="Cambria" w:hAnsi="Cambria"/>
          <w:b/>
          <w:bCs/>
          <w:color w:val="000000"/>
          <w:sz w:val="24"/>
          <w:szCs w:val="24"/>
        </w:rPr>
        <w:br/>
        <w:br/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Symbo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sz w:val="20"/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LibreOffice/7.2.6.2$Windows_X86_64 LibreOffice_project/b0ec3a565991f7569a5a7f5d24fed7f52653d754</Application>
  <AppVersion>15.0000</AppVersion>
  <Pages>2</Pages>
  <Words>616</Words>
  <Characters>3389</Characters>
  <CharactersWithSpaces>3990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2023-06-10T14:45:32Z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