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Prestação de Contas Anual</w:t>
      </w:r>
    </w:p>
    <w:p>
      <w:pPr>
        <w:pStyle w:val="Normal1"/>
        <w:widowControl w:val="false"/>
        <w:numPr>
          <w:ilvl w:val="0"/>
          <w:numId w:val="2"/>
        </w:numPr>
        <w:spacing w:lineRule="auto" w:line="360"/>
        <w:ind w:left="0" w:hanging="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Autos n.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Partido: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Modelo MPMS adaptado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MM. </w:t>
      </w:r>
      <w:r>
        <w:rPr>
          <w:rFonts w:eastAsia="Cambria" w:cs="Cambria" w:ascii="Cambria" w:hAnsi="Cambria"/>
          <w:b/>
          <w:sz w:val="24"/>
          <w:szCs w:val="24"/>
        </w:rPr>
        <w:t>J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uiz(a),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Trata-se de prestação de contas apresentadas pelo Partido requerente, referente à movimentação financeira do ano de </w:t>
      </w:r>
      <w:r>
        <w:rPr>
          <w:rFonts w:eastAsia="Cambria" w:cs="Cambria" w:ascii="Cambria" w:hAnsi="Cambria"/>
          <w:position w:val="0"/>
          <w:sz w:val="24"/>
          <w:sz w:val="24"/>
          <w:szCs w:val="24"/>
          <w:highlight w:val="yellow"/>
          <w:vertAlign w:val="baseline"/>
        </w:rPr>
        <w:t>XXXX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Não houve impugnação no prazo legal.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As referidas contas foram submetidas ao procedimento técnico de exame da Justiça Eleitoral, não sendo constatada nenhuma irregularidade que acarretasse a sua desaprovação.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Em </w:t>
      </w:r>
      <w:r>
        <w:rPr>
          <w:rFonts w:eastAsia="Cambria" w:cs="Cambria" w:ascii="Cambria" w:hAnsi="Cambria"/>
          <w:sz w:val="24"/>
          <w:szCs w:val="24"/>
        </w:rPr>
        <w:t>relatório técnico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, o servidor da Justiça Eleitoral concluiu que a prestação de contas está apta à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aprovação com ressalvas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Com vista dos autos, o</w:t>
      </w: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 passa a se manifestar.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bookmarkStart w:id="0" w:name="_heading=h.gjdgxs"/>
      <w:bookmarkEnd w:id="0"/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Compulsando </w:t>
      </w:r>
      <w:r>
        <w:rPr>
          <w:rFonts w:eastAsia="Cambria" w:cs="Cambria" w:ascii="Cambria" w:hAnsi="Cambria"/>
          <w:sz w:val="24"/>
          <w:szCs w:val="24"/>
        </w:rPr>
        <w:t>o feito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, é possível constatar que o Partido apresentou a</w:t>
      </w:r>
      <w:r>
        <w:rPr>
          <w:rFonts w:eastAsia="Cambria" w:cs="Cambria" w:ascii="Cambria" w:hAnsi="Cambria"/>
          <w:sz w:val="24"/>
          <w:szCs w:val="24"/>
        </w:rPr>
        <w:t>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contas </w:t>
      </w:r>
      <w:r>
        <w:rPr>
          <w:rFonts w:eastAsia="Cambria" w:cs="Cambria" w:ascii="Cambria" w:hAnsi="Cambria"/>
          <w:sz w:val="24"/>
          <w:szCs w:val="24"/>
        </w:rPr>
        <w:t>em consonância com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a legislação eleitoral em vigor, notadamente a Lei 9.096/95 e a Resolução TSE 23.604/2019</w:t>
      </w:r>
      <w:r>
        <w:rPr>
          <w:rFonts w:eastAsia="Cambria" w:cs="Cambria" w:ascii="Cambria" w:hAnsi="Cambria"/>
          <w:sz w:val="24"/>
          <w:szCs w:val="24"/>
        </w:rPr>
        <w:t>, ressalvadas questões que não comprometem o exame da higidez do balanço contábil.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Analisando detidamente os autos, verifica-se que </w:t>
      </w:r>
      <w:r>
        <w:rPr>
          <w:rFonts w:eastAsia="Cambria" w:cs="Cambria" w:ascii="Cambria" w:hAnsi="Cambria"/>
          <w:sz w:val="24"/>
          <w:szCs w:val="24"/>
        </w:rPr>
        <w:t>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Partido ....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(explicar a falha ou irregularidade encontrada, mas que não compromete regularidade)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Todavia esta falha não compromete a regularidade da prestação de contas, </w:t>
      </w:r>
      <w:r>
        <w:rPr>
          <w:rFonts w:eastAsia="Cambria" w:cs="Cambria" w:ascii="Cambria" w:hAnsi="Cambria"/>
          <w:sz w:val="24"/>
          <w:szCs w:val="24"/>
        </w:rPr>
        <w:t>embora mereça apontamento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. Nesse sentido, inclusive, estabelece o art. 45, § 3º, da Resolução TSE 23.604/2019: “Erros formais ou materiais que, no conjunto da prestação de contas, não comprometam o conhecimento da origem das receitas nem a destinação das despesas não acarretarão a desaprovação das contas (art. 37, § 12, da Lei 9.096/95).” 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Com efeito, verifica-se que a prestação de contas reflete adequadamente a movimentação financeira apresentada, sendo que, até o presente momento, não se teve conhecimento da existência de irregularidades/omissões nas receitas ou gastos efetuados pelo Partido.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Ressalta-se que o julgamento da prestação de contas pela Justiça Eleitoral não afasta a possibilidade de apuração quanto à prática de eventuais ilícitos antecedentes e/ou vinculados, verificados no curso de investigações em andamento ou futuras, nos termos do art. 71, da Resolução TSE 23.604/2019, bem como a propositura de ações criminais ou cíveis, se for o caso.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Ante 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exposto, o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Ministério Público Eleitoral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se manifesta pela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APROVAÇÃO COM RESSALVAS 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das contas apresentadas pelo Partido, nos termos do artigo 45, inciso II, da Resolução </w:t>
      </w:r>
      <w:r>
        <w:rPr>
          <w:rFonts w:eastAsia="Cambria" w:cs="Cambria" w:ascii="Cambria" w:hAnsi="Cambria"/>
          <w:sz w:val="24"/>
          <w:szCs w:val="24"/>
        </w:rPr>
        <w:t>TSE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23.604/2019.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caps w:val="false"/>
          <w:smallCaps w:val="false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caps w:val="false"/>
          <w:smallCaps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caps w:val="false"/>
          <w:smallCaps w:val="false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caps w:val="false"/>
          <w:smallCaps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________/TO, ___ de _______ de 2023.</w:t>
      </w:r>
    </w:p>
    <w:p>
      <w:pPr>
        <w:pStyle w:val="Normal1"/>
        <w:spacing w:lineRule="auto" w:line="36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XXXX</w:t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350</Words>
  <Characters>2014</Characters>
  <CharactersWithSpaces>2345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2023-06-10T16:49:05Z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