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Ttulo3"/>
        <w:keepNext w:val="false"/>
        <w:widowControl w:val="false"/>
        <w:spacing w:lineRule="auto" w:line="360"/>
        <w:jc w:val="left"/>
        <w:rPr>
          <w:rFonts w:ascii="Cambria" w:hAnsi="Cambria" w:cs="Cambria"/>
          <w:bCs/>
          <w:sz w:val="24"/>
          <w:szCs w:val="24"/>
        </w:rPr>
      </w:pPr>
      <w:r>
        <w:rPr>
          <w:rFonts w:cs="Cambria" w:ascii="Cambria" w:hAnsi="Cambria"/>
          <w:bCs/>
          <w:sz w:val="24"/>
          <w:szCs w:val="24"/>
        </w:rPr>
        <w:t xml:space="preserve">Autos n. </w:t>
      </w:r>
    </w:p>
    <w:p>
      <w:pPr>
        <w:pStyle w:val="Ttulo3"/>
        <w:keepNext w:val="false"/>
        <w:widowControl w:val="false"/>
        <w:spacing w:lineRule="auto" w:line="360"/>
        <w:jc w:val="left"/>
        <w:rPr>
          <w:rFonts w:ascii="Cambria" w:hAnsi="Cambria" w:cs="Cambria"/>
          <w:b/>
          <w:b/>
          <w:bCs/>
          <w:sz w:val="24"/>
          <w:szCs w:val="24"/>
          <w:u w:val="single"/>
        </w:rPr>
      </w:pPr>
      <w:r>
        <w:rPr>
          <w:rFonts w:cs="Cambria" w:ascii="Cambria" w:hAnsi="Cambria"/>
          <w:b/>
          <w:bCs/>
          <w:sz w:val="24"/>
          <w:szCs w:val="24"/>
          <w:u w:val="single"/>
        </w:rPr>
        <w:t>RECURSO</w:t>
      </w:r>
    </w:p>
    <w:p>
      <w:pPr>
        <w:pStyle w:val="Normal"/>
        <w:widowControl w:val="false"/>
        <w:spacing w:lineRule="auto" w:line="360"/>
        <w:ind w:left="0" w:right="0" w:firstLine="2268"/>
        <w:jc w:val="both"/>
        <w:rPr>
          <w:rFonts w:ascii="Cambria" w:hAnsi="Cambria" w:cs="Cambria"/>
          <w:bCs/>
          <w:sz w:val="24"/>
          <w:szCs w:val="24"/>
        </w:rPr>
      </w:pPr>
      <w:r>
        <w:rPr>
          <w:rFonts w:cs="Cambria" w:ascii="Cambria" w:hAnsi="Cambria"/>
          <w:bCs/>
          <w:sz w:val="24"/>
          <w:szCs w:val="24"/>
        </w:rPr>
      </w:r>
    </w:p>
    <w:p>
      <w:pPr>
        <w:pStyle w:val="Normal"/>
        <w:widowControl w:val="false"/>
        <w:spacing w:lineRule="auto" w:line="360"/>
        <w:ind w:left="0" w:right="0" w:firstLine="2268"/>
        <w:jc w:val="both"/>
        <w:rPr>
          <w:rFonts w:ascii="Cambria" w:hAnsi="Cambria" w:cs="Cambria"/>
          <w:bCs/>
          <w:sz w:val="24"/>
          <w:szCs w:val="24"/>
        </w:rPr>
      </w:pPr>
      <w:r>
        <w:rPr>
          <w:rFonts w:cs="Cambria" w:ascii="Cambria" w:hAnsi="Cambria"/>
          <w:bCs/>
          <w:sz w:val="24"/>
          <w:szCs w:val="24"/>
        </w:rPr>
      </w:r>
    </w:p>
    <w:p>
      <w:pPr>
        <w:pStyle w:val="Normal"/>
        <w:spacing w:lineRule="auto" w:line="360"/>
        <w:ind w:left="0" w:right="0" w:firstLine="1701"/>
        <w:jc w:val="both"/>
        <w:rPr>
          <w:rFonts w:ascii="Cambria" w:hAnsi="Cambria" w:cs="Cambria"/>
          <w:b/>
          <w:b/>
          <w:bCs/>
          <w:sz w:val="24"/>
          <w:szCs w:val="24"/>
        </w:rPr>
      </w:pPr>
      <w:r>
        <w:rPr>
          <w:rFonts w:cs="Cambria" w:ascii="Cambria" w:hAnsi="Cambria"/>
          <w:b/>
          <w:bCs/>
          <w:sz w:val="24"/>
          <w:szCs w:val="24"/>
        </w:rPr>
      </w:r>
    </w:p>
    <w:p>
      <w:pPr>
        <w:pStyle w:val="Normal"/>
        <w:spacing w:lineRule="auto" w:line="360"/>
        <w:ind w:left="0" w:right="0" w:firstLine="1701"/>
        <w:jc w:val="both"/>
        <w:rPr>
          <w:rFonts w:ascii="Cambria" w:hAnsi="Cambria" w:cs="Cambria"/>
          <w:b/>
          <w:b/>
          <w:sz w:val="24"/>
          <w:szCs w:val="24"/>
        </w:rPr>
      </w:pPr>
      <w:r>
        <w:rPr>
          <w:rFonts w:cs="Cambria" w:ascii="Cambria" w:hAnsi="Cambria"/>
          <w:b/>
          <w:sz w:val="24"/>
          <w:szCs w:val="24"/>
        </w:rPr>
      </w:r>
    </w:p>
    <w:p>
      <w:pPr>
        <w:pStyle w:val="Normal"/>
        <w:spacing w:lineRule="auto" w:line="360"/>
        <w:ind w:left="0" w:right="0" w:firstLine="1701"/>
        <w:jc w:val="both"/>
        <w:rPr/>
      </w:pPr>
      <w:r>
        <w:rPr>
          <w:rFonts w:cs="Cambria" w:ascii="Cambria" w:hAnsi="Cambria"/>
          <w:sz w:val="24"/>
          <w:szCs w:val="24"/>
        </w:rPr>
        <w:t>Compulsando os autos, constata-se que o Ministério Público Eleitoral em 1º grau atua no processo como fiscal da ordem jurídica, motivo pelo qual não há necessidade, nem previsão legal, para sua manifestação em relação ao recurso interposto</w:t>
      </w:r>
      <w:r>
        <w:rPr>
          <w:rStyle w:val="Caracteresdenotaderodap"/>
          <w:rStyle w:val="Ncoradanotaderodap"/>
          <w:rFonts w:cs="Cambria" w:ascii="Cambria" w:hAnsi="Cambria"/>
          <w:sz w:val="24"/>
          <w:szCs w:val="24"/>
        </w:rPr>
        <w:footnoteReference w:id="2"/>
      </w:r>
      <w:r>
        <w:rPr>
          <w:rFonts w:cs="Cambria" w:ascii="Cambria" w:hAnsi="Cambria"/>
          <w:sz w:val="24"/>
          <w:szCs w:val="24"/>
        </w:rPr>
        <w:t>, já que a atribuição ministerial será exercida pelo Procurador Regional Eleitoral, em 2º grau.</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Cambria" w:ascii="Cambria" w:hAnsi="Cambria"/>
          <w:color w:val="000000"/>
          <w:sz w:val="24"/>
          <w:szCs w:val="24"/>
        </w:rPr>
        <w:t xml:space="preserve">No mais, requer a remessa dos autos ao TRE/TO para apreciação. </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Garamond">
    <w:charset w:val="00"/>
    <w:family w:val="roman"/>
    <w:pitch w:val="variable"/>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jc w:val="both"/>
        <w:rPr/>
      </w:pPr>
      <w:r>
        <w:rPr>
          <w:rStyle w:val="Caracteresdenotaderodap"/>
        </w:rPr>
        <w:footnoteRef/>
      </w:r>
      <w:r>
        <w:rPr>
          <w:rFonts w:cs="Arial" w:ascii="Arial" w:hAnsi="Arial"/>
        </w:rPr>
        <w:tab/>
        <w:t xml:space="preserve">A recomendação CNMP n. 34/2016 dispensa até mesmo a manifestação sobre a admissibilidade do recurso em 1º grau, como se observa em seu art. 3º: “É prescindível a manifestação, em primeiro grau, acerca da admissibilidade de recurso, ressalvada disposição legal em contrário”.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3">
    <w:name w:val="Heading 3"/>
    <w:basedOn w:val="Normal"/>
    <w:next w:val="Normal"/>
    <w:qFormat/>
    <w:pPr>
      <w:keepNext w:val="true"/>
      <w:numPr>
        <w:ilvl w:val="2"/>
        <w:numId w:val="1"/>
      </w:numPr>
      <w:spacing w:lineRule="auto" w:line="240" w:before="0" w:after="0"/>
      <w:jc w:val="center"/>
      <w:outlineLvl w:val="2"/>
    </w:pPr>
    <w:rPr>
      <w:rFonts w:ascii="Garamond" w:hAnsi="Garamond" w:eastAsia="Times New Roman" w:cs="Times New Roman"/>
      <w:b/>
      <w:szCs w:val="20"/>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Pages>
  <Words>123</Words>
  <Characters>698</Characters>
  <CharactersWithSpaces>816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2023-06-10T17:17:31Z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