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olor w:val="C9211E"/>
          <w:sz w:val="24"/>
          <w:szCs w:val="24"/>
        </w:rPr>
      </w:pPr>
      <w:r>
        <w:rPr>
          <w:rFonts w:ascii="Cambria" w:hAnsi="Cambria"/>
          <w:color w:val="C9211E"/>
          <w:sz w:val="24"/>
          <w:szCs w:val="24"/>
        </w:rPr>
        <w:t>MPCE</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RRC nº</w:t>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Impugnante: Ministério Público Eleitoral</w:t>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Impugnado(a):</w:t>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t xml:space="preserve"> </w:t>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r>
    </w:p>
    <w:p>
      <w:pPr>
        <w:pStyle w:val="Normal"/>
        <w:widowControl/>
        <w:suppressAutoHyphens w:val="true"/>
        <w:bidi w:val="0"/>
        <w:spacing w:lineRule="auto" w:line="360" w:before="0" w:after="240"/>
        <w:ind w:left="0" w:right="0" w:firstLine="1701"/>
        <w:jc w:val="both"/>
        <w:rPr>
          <w:rFonts w:ascii="Cambria" w:hAnsi="Cambria"/>
        </w:rPr>
      </w:pPr>
      <w:r>
        <w:rPr>
          <w:rFonts w:ascii="Cambria" w:hAnsi="Cambria"/>
          <w:i w:val="false"/>
          <w:iCs w:val="false"/>
          <w:szCs w:val="22"/>
        </w:rPr>
        <w:t xml:space="preserve">O </w:t>
      </w:r>
      <w:r>
        <w:rPr>
          <w:rFonts w:ascii="Cambria" w:hAnsi="Cambria"/>
          <w:b/>
          <w:i w:val="false"/>
          <w:iCs w:val="false"/>
          <w:szCs w:val="22"/>
        </w:rPr>
        <w:t>MINISTÉRIO PÚBLICO ELEITORAL</w:t>
      </w:r>
      <w:r>
        <w:rPr>
          <w:rFonts w:ascii="Cambria" w:hAnsi="Cambria"/>
          <w:i w:val="false"/>
          <w:iCs w:val="false"/>
          <w:szCs w:val="22"/>
        </w:rPr>
        <w:t>, por sua agente que abaixo subscreve, vem à presença de Vossa Excelência apresentar manifestação nos termos abaixo.</w:t>
      </w:r>
    </w:p>
    <w:p>
      <w:pPr>
        <w:pStyle w:val="Normal"/>
        <w:widowControl/>
        <w:suppressAutoHyphens w:val="true"/>
        <w:bidi w:val="0"/>
        <w:spacing w:lineRule="auto" w:line="360" w:before="0" w:after="240"/>
        <w:ind w:left="0" w:right="0" w:firstLine="1701"/>
        <w:jc w:val="both"/>
        <w:rPr>
          <w:rFonts w:ascii="Cambria" w:hAnsi="Cambria"/>
        </w:rPr>
      </w:pPr>
      <w:r>
        <w:rPr>
          <w:rFonts w:ascii="Cambria" w:hAnsi="Cambria"/>
          <w:i w:val="false"/>
          <w:iCs w:val="false"/>
          <w:szCs w:val="22"/>
        </w:rPr>
        <w:t xml:space="preserve">A candidatura de _______________ foi impugnada em virtude de ter sido definitivamente condenado como incurso nas sanções do </w:t>
      </w:r>
      <w:r>
        <w:rPr>
          <w:rFonts w:ascii="Cambria" w:hAnsi="Cambria"/>
          <w:b/>
          <w:i w:val="false"/>
          <w:iCs w:val="false"/>
          <w:szCs w:val="22"/>
        </w:rPr>
        <w:t>art. 183, caput, da Lei n. 9.472/97, crime contra a Administração Pública,</w:t>
      </w:r>
      <w:r>
        <w:rPr>
          <w:rFonts w:ascii="Cambria" w:hAnsi="Cambria"/>
          <w:i w:val="false"/>
          <w:iCs w:val="false"/>
          <w:szCs w:val="22"/>
        </w:rPr>
        <w:t xml:space="preserve"> à pena privativa de liberdade de 2 (dois) anos de detenção, a qual foi substituída por 02 penas restritivas de direito, a saber: a) a prestação de serviço à comunidade ou a entidades públicas; b) prestação pecuniária, a qual veio transitar em julgado aos XX/XX/XXXX, conforme documentação nos autos.</w:t>
      </w:r>
    </w:p>
    <w:p>
      <w:pPr>
        <w:pStyle w:val="Normal"/>
        <w:widowControl/>
        <w:suppressAutoHyphens w:val="true"/>
        <w:bidi w:val="0"/>
        <w:spacing w:lineRule="auto" w:line="360" w:before="0" w:after="240"/>
        <w:ind w:left="0" w:right="0" w:firstLine="1701"/>
        <w:jc w:val="both"/>
        <w:rPr>
          <w:rFonts w:ascii="Cambria" w:hAnsi="Cambria"/>
        </w:rPr>
      </w:pPr>
      <w:r>
        <w:rPr>
          <w:rFonts w:ascii="Cambria" w:hAnsi="Cambria"/>
          <w:i w:val="false"/>
          <w:iCs w:val="false"/>
          <w:szCs w:val="22"/>
        </w:rPr>
        <w:t xml:space="preserve">O impugnado, portanto, está enquadrado na hipótese prevista no art. 1º, I, “e”, 1, da Lei Complementar n. 64/90, com redação dada pela Lei Complementar nº 135/2010, segundo o qual são inelegíveis “os que forem condenados, em decisão transitada em julgado ou proferida por órgão judicial colegiado, desde a condenação até o transcurso do prazo de 8 (oito) anos após o cumprimento da pena, pelos crimes: 1. contra a economia popular, a fé pública, </w:t>
      </w:r>
      <w:r>
        <w:rPr>
          <w:rFonts w:ascii="Cambria" w:hAnsi="Cambria"/>
          <w:b/>
          <w:i w:val="false"/>
          <w:iCs w:val="false"/>
          <w:szCs w:val="22"/>
        </w:rPr>
        <w:t>a administração pública</w:t>
      </w:r>
      <w:r>
        <w:rPr>
          <w:rFonts w:ascii="Cambria" w:hAnsi="Cambria"/>
          <w:i w:val="false"/>
          <w:iCs w:val="false"/>
          <w:szCs w:val="22"/>
        </w:rPr>
        <w:t xml:space="preserve"> e o patrimônio </w:t>
      </w:r>
      <w:r>
        <w:rPr>
          <w:rFonts w:ascii="Cambria" w:hAnsi="Cambria"/>
          <w:i w:val="false"/>
          <w:iCs w:val="false"/>
          <w:sz w:val="24"/>
          <w:szCs w:val="24"/>
        </w:rPr>
        <w:t>público.</w:t>
      </w:r>
    </w:p>
    <w:p>
      <w:pPr>
        <w:pStyle w:val="Normal"/>
        <w:widowControl/>
        <w:suppressAutoHyphens w:val="true"/>
        <w:bidi w:val="0"/>
        <w:spacing w:lineRule="auto" w:line="360" w:before="0" w:after="240"/>
        <w:ind w:left="0" w:right="0" w:firstLine="1701"/>
        <w:jc w:val="both"/>
        <w:rPr>
          <w:rFonts w:ascii="Cambria" w:hAnsi="Cambria"/>
        </w:rPr>
      </w:pPr>
      <w:r>
        <w:rPr>
          <w:rFonts w:ascii="Cambria" w:hAnsi="Cambria"/>
          <w:i w:val="false"/>
          <w:iCs w:val="false"/>
          <w:sz w:val="24"/>
          <w:szCs w:val="24"/>
        </w:rPr>
        <w:t>E</w:t>
      </w:r>
      <w:r>
        <w:rPr>
          <w:rFonts w:ascii="Cambria" w:hAnsi="Cambria"/>
          <w:i w:val="false"/>
          <w:iCs w:val="false"/>
          <w:color w:val="000000"/>
          <w:sz w:val="24"/>
          <w:szCs w:val="24"/>
        </w:rPr>
        <w:t>m sua contestação, que não negou a existência da condenação transitada em julgado, o impugnado suscitou basicamente os seguintes pontos:</w:t>
      </w:r>
    </w:p>
    <w:p>
      <w:pPr>
        <w:pStyle w:val="Normal"/>
        <w:widowControl/>
        <w:suppressAutoHyphens w:val="true"/>
        <w:bidi w:val="0"/>
        <w:spacing w:lineRule="auto" w:line="360" w:before="0" w:after="240"/>
        <w:ind w:left="0" w:right="0" w:firstLine="1701"/>
        <w:jc w:val="both"/>
        <w:rPr>
          <w:rFonts w:ascii="Cambria" w:hAnsi="Cambria"/>
          <w:i w:val="false"/>
          <w:i w:val="false"/>
          <w:iCs w:val="false"/>
          <w:color w:val="000000"/>
          <w:sz w:val="24"/>
          <w:szCs w:val="24"/>
        </w:rPr>
      </w:pPr>
      <w:r>
        <w:rPr>
          <w:rFonts w:ascii="Cambria" w:hAnsi="Cambria"/>
          <w:i w:val="false"/>
          <w:iCs w:val="false"/>
          <w:color w:val="000000"/>
          <w:sz w:val="24"/>
          <w:szCs w:val="24"/>
        </w:rPr>
        <w:t>1) o impugnado foi beneficiado com indulto com fundamento no art. 1º, inciso XIV, do Decreto nº 8.615/15 e teve extinta a pena privativa de liberdade;</w:t>
      </w:r>
    </w:p>
    <w:p>
      <w:pPr>
        <w:pStyle w:val="Normal"/>
        <w:widowControl/>
        <w:suppressAutoHyphens w:val="true"/>
        <w:bidi w:val="0"/>
        <w:spacing w:lineRule="auto" w:line="360" w:before="0" w:after="240"/>
        <w:ind w:left="0" w:right="0" w:firstLine="1701"/>
        <w:jc w:val="both"/>
        <w:rPr>
          <w:rFonts w:ascii="Cambria" w:hAnsi="Cambria"/>
          <w:i w:val="false"/>
          <w:i w:val="false"/>
          <w:iCs w:val="false"/>
          <w:color w:val="000000"/>
          <w:sz w:val="24"/>
          <w:szCs w:val="24"/>
        </w:rPr>
      </w:pPr>
      <w:r>
        <w:rPr>
          <w:rFonts w:ascii="Cambria" w:hAnsi="Cambria"/>
          <w:i w:val="false"/>
          <w:iCs w:val="false"/>
          <w:color w:val="000000"/>
          <w:sz w:val="24"/>
          <w:szCs w:val="24"/>
        </w:rPr>
        <w:t>2) o crime cometido não está previsto no rol do art. 1º, inciso I, alínea “e”, da LC 64/90;</w:t>
      </w:r>
    </w:p>
    <w:p>
      <w:pPr>
        <w:pStyle w:val="Normal"/>
        <w:widowControl/>
        <w:suppressAutoHyphens w:val="true"/>
        <w:bidi w:val="0"/>
        <w:spacing w:lineRule="auto" w:line="360" w:before="0" w:after="240"/>
        <w:ind w:left="0" w:right="0" w:firstLine="1701"/>
        <w:jc w:val="both"/>
        <w:rPr>
          <w:rFonts w:ascii="Cambria" w:hAnsi="Cambria"/>
          <w:i w:val="false"/>
          <w:i w:val="false"/>
          <w:iCs w:val="false"/>
          <w:color w:val="000000"/>
          <w:sz w:val="24"/>
          <w:szCs w:val="24"/>
        </w:rPr>
      </w:pPr>
      <w:r>
        <w:rPr>
          <w:rFonts w:ascii="Cambria" w:hAnsi="Cambria"/>
          <w:i w:val="false"/>
          <w:iCs w:val="false"/>
          <w:color w:val="000000"/>
          <w:sz w:val="24"/>
          <w:szCs w:val="24"/>
        </w:rPr>
        <w:t>3) o ilícito cometido pelo impugnado seria tipificado no art. 70 da Lei 4.117/62, possui pena máxima de dois anos, enquadrando-se como contravenção penal (sic), nos termos do artigo 61 da Lei nº 9.099/95, não acarretando inelegibilidade, nos termos do artigo 1º, § 4º, da LC 64/90.</w:t>
      </w:r>
    </w:p>
    <w:p>
      <w:pPr>
        <w:pStyle w:val="Normal"/>
        <w:widowControl/>
        <w:suppressAutoHyphens w:val="true"/>
        <w:bidi w:val="0"/>
        <w:spacing w:lineRule="auto" w:line="360" w:before="0" w:after="240"/>
        <w:ind w:left="0" w:right="0" w:firstLine="1701"/>
        <w:jc w:val="both"/>
        <w:rPr>
          <w:rFonts w:ascii="Cambria" w:hAnsi="Cambria"/>
          <w:i w:val="false"/>
          <w:i w:val="false"/>
          <w:iCs w:val="false"/>
          <w:color w:val="000000"/>
          <w:sz w:val="24"/>
          <w:szCs w:val="24"/>
        </w:rPr>
      </w:pPr>
      <w:r>
        <w:rPr>
          <w:rFonts w:ascii="Cambria" w:hAnsi="Cambria"/>
          <w:i w:val="false"/>
          <w:iCs w:val="false"/>
          <w:color w:val="000000"/>
          <w:sz w:val="24"/>
          <w:szCs w:val="24"/>
        </w:rPr>
        <w:t>4) a LC 64/90 não incluiu os crimes contra os meios de comunicação previstos na Lei nº 9.472/97 dentre aqueles que acarretam a inelegibilidade em caso de condenação criminal.</w:t>
      </w:r>
    </w:p>
    <w:p>
      <w:pPr>
        <w:pStyle w:val="Normal"/>
        <w:widowControl/>
        <w:suppressAutoHyphens w:val="true"/>
        <w:bidi w:val="0"/>
        <w:spacing w:lineRule="auto" w:line="360" w:before="0" w:after="240"/>
        <w:ind w:left="0" w:right="0" w:firstLine="1701"/>
        <w:jc w:val="both"/>
        <w:rPr>
          <w:rFonts w:ascii="Cambria" w:hAnsi="Cambria"/>
        </w:rPr>
      </w:pPr>
      <w:r>
        <w:rPr>
          <w:rFonts w:ascii="Cambria" w:hAnsi="Cambria"/>
          <w:i w:val="false"/>
          <w:iCs w:val="false"/>
          <w:sz w:val="24"/>
          <w:szCs w:val="24"/>
        </w:rPr>
        <w:t>Dito isto, o Ministério Público Eleitoral passa a, respeitosamente, co</w:t>
      </w:r>
      <w:r>
        <w:rPr>
          <w:rFonts w:ascii="Cambria" w:hAnsi="Cambria"/>
          <w:i w:val="false"/>
          <w:iCs w:val="false"/>
          <w:szCs w:val="22"/>
        </w:rPr>
        <w:t>ntraditar as alegativas do IMPUGNADO e, por uma questão de organização da abordagem, faz-se necessário proceder à inversão da ordem dos pontos elencados.</w:t>
      </w:r>
    </w:p>
    <w:p>
      <w:pPr>
        <w:pStyle w:val="Normal"/>
        <w:widowControl/>
        <w:suppressAutoHyphens w:val="true"/>
        <w:bidi w:val="0"/>
        <w:spacing w:lineRule="auto" w:line="360" w:before="0" w:after="240"/>
        <w:ind w:left="0" w:right="0" w:firstLine="1701"/>
        <w:jc w:val="both"/>
        <w:rPr>
          <w:rFonts w:ascii="Cambria" w:hAnsi="Cambria"/>
        </w:rPr>
      </w:pPr>
      <w:r>
        <w:rPr>
          <w:rFonts w:ascii="Cambria" w:hAnsi="Cambria"/>
          <w:i w:val="false"/>
          <w:iCs w:val="false"/>
          <w:szCs w:val="22"/>
        </w:rPr>
        <w:t xml:space="preserve">Como se pode observar na sentença condenatória (ID ____________), o impugnado restou condenado nas </w:t>
      </w:r>
      <w:r>
        <w:rPr>
          <w:rFonts w:ascii="Cambria" w:hAnsi="Cambria"/>
          <w:b/>
          <w:i w:val="false"/>
          <w:iCs w:val="false"/>
          <w:szCs w:val="22"/>
        </w:rPr>
        <w:t>penas do artigo 183, caput, da Lei n. 9.472/97</w:t>
      </w:r>
      <w:r>
        <w:rPr>
          <w:rFonts w:ascii="Cambria" w:hAnsi="Cambria"/>
          <w:i w:val="false"/>
          <w:iCs w:val="false"/>
          <w:szCs w:val="22"/>
        </w:rPr>
        <w:t xml:space="preserve">, e não no artigo 70, da Lei n. 4.117/62, como afirma a sua defesa, como se pode observar no excerto da sentença a seguir: </w:t>
      </w:r>
    </w:p>
    <w:p>
      <w:pPr>
        <w:pStyle w:val="Normal"/>
        <w:widowControl/>
        <w:suppressAutoHyphens w:val="true"/>
        <w:bidi w:val="0"/>
        <w:spacing w:lineRule="auto" w:line="360" w:before="0" w:after="240"/>
        <w:ind w:left="0" w:right="0" w:firstLine="1701"/>
        <w:jc w:val="both"/>
        <w:rPr>
          <w:rFonts w:ascii="Cambria" w:hAnsi="Cambria"/>
        </w:rPr>
      </w:pPr>
      <w:r>
        <w:rPr>
          <w:rFonts w:ascii="Cambria" w:hAnsi="Cambria"/>
          <w:i w:val="false"/>
          <w:iCs w:val="false"/>
          <w:szCs w:val="22"/>
        </w:rPr>
        <w:t xml:space="preserve">O crime do artigo 183 da Lei nº 9.472/97 (Art. 183. Desenvolver clandestinamente atividades de telecomunicação), tem como pena abstrata detenção de dois a quatro anos, aumentada da metade se houver dano a terceiro, e multa de R$ 10.000,00 (dez mil reais), ou seja, </w:t>
      </w:r>
      <w:r>
        <w:rPr>
          <w:rFonts w:ascii="Cambria" w:hAnsi="Cambria"/>
          <w:b/>
          <w:i w:val="false"/>
          <w:iCs w:val="false"/>
          <w:szCs w:val="22"/>
        </w:rPr>
        <w:t>não é considerado de menor potencial ofensivo</w:t>
      </w:r>
      <w:r>
        <w:rPr>
          <w:rFonts w:ascii="Cambria" w:hAnsi="Cambria"/>
          <w:i w:val="false"/>
          <w:iCs w:val="false"/>
          <w:szCs w:val="22"/>
        </w:rPr>
        <w:t xml:space="preserve">, não se enquadrando na previsão do artigo 61 da Lei nº 9.099/95 (Lei dos Juizados Especiais Cíveis e Criminais), não lhe acudindo a exceção prevista no artigo 1º, § 4º, da LC 64/90. </w:t>
      </w:r>
    </w:p>
    <w:p>
      <w:pPr>
        <w:pStyle w:val="Normal"/>
        <w:widowControl/>
        <w:suppressAutoHyphens w:val="true"/>
        <w:bidi w:val="0"/>
        <w:spacing w:lineRule="auto" w:line="360" w:before="0" w:after="240"/>
        <w:ind w:left="0" w:right="0" w:firstLine="1701"/>
        <w:jc w:val="both"/>
        <w:rPr/>
      </w:pPr>
      <w:r>
        <w:rPr>
          <w:rFonts w:ascii="Cambria" w:hAnsi="Cambria"/>
          <w:i w:val="false"/>
          <w:iCs w:val="false"/>
          <w:szCs w:val="22"/>
        </w:rPr>
        <w:t xml:space="preserve">O delito </w:t>
      </w:r>
      <w:r>
        <w:rPr>
          <w:rFonts w:ascii="Cambria" w:hAnsi="Cambria"/>
          <w:i w:val="false"/>
          <w:iCs w:val="false"/>
          <w:color w:val="000000"/>
          <w:szCs w:val="22"/>
        </w:rPr>
        <w:t xml:space="preserve">previsto no art.  </w:t>
      </w:r>
      <w:r>
        <w:rPr>
          <w:rStyle w:val="Fontepargpadro2"/>
          <w:rFonts w:ascii="Cambria" w:hAnsi="Cambria"/>
          <w:b/>
          <w:bCs/>
          <w:i w:val="false"/>
          <w:iCs w:val="false"/>
          <w:color w:val="000000"/>
          <w:szCs w:val="22"/>
          <w:u w:val="single"/>
        </w:rPr>
        <w:t>art. 183, caput, da Lei n. 9.472/97</w:t>
      </w:r>
      <w:r>
        <w:rPr>
          <w:rFonts w:ascii="Cambria" w:hAnsi="Cambria"/>
          <w:i w:val="false"/>
          <w:iCs w:val="false"/>
          <w:color w:val="000000"/>
          <w:szCs w:val="22"/>
        </w:rPr>
        <w:t xml:space="preserve">, está inserido no rol dos </w:t>
      </w:r>
      <w:r>
        <w:rPr>
          <w:rFonts w:ascii="Cambria" w:hAnsi="Cambria"/>
          <w:b/>
          <w:i w:val="false"/>
          <w:iCs w:val="false"/>
          <w:color w:val="000000"/>
          <w:szCs w:val="22"/>
        </w:rPr>
        <w:t>crimes contra a administração pública</w:t>
      </w:r>
      <w:r>
        <w:rPr>
          <w:rFonts w:ascii="Cambria" w:hAnsi="Cambria"/>
          <w:i w:val="false"/>
          <w:iCs w:val="false"/>
          <w:color w:val="000000"/>
          <w:szCs w:val="22"/>
        </w:rPr>
        <w:t>, o que gera a inelegibilidade prevista no art. 1º, inciso I, alínea “e”, da LC nº 64/90, conforme entendimento já pacificado pelo Tribunal Superior Eleitoral (TSE):</w:t>
      </w:r>
    </w:p>
    <w:p>
      <w:pPr>
        <w:pStyle w:val="Normal"/>
        <w:tabs>
          <w:tab w:val="clear" w:pos="708"/>
          <w:tab w:val="left" w:pos="2268" w:leader="none"/>
        </w:tabs>
        <w:spacing w:lineRule="auto" w:line="360" w:before="0" w:after="240"/>
        <w:ind w:left="2268" w:right="0" w:hanging="0"/>
        <w:jc w:val="both"/>
        <w:rPr>
          <w:rFonts w:ascii="Cambria" w:hAnsi="Cambria"/>
        </w:rPr>
      </w:pPr>
      <w:r>
        <w:rPr>
          <w:rFonts w:ascii="Cambria" w:hAnsi="Cambria"/>
          <w:i w:val="false"/>
          <w:iCs w:val="false"/>
          <w:sz w:val="22"/>
          <w:szCs w:val="22"/>
        </w:rPr>
        <w:t xml:space="preserve">RECURSO ESPECIAL - DEVOLUTIVIDADE - ARTIGO 515 DO CÓDIGO DE PROCESSO CIVIL. O disposto no artigo 515 do Código de Processo Civil não se aplica a recurso extraordinário, tendo em conta versar a devolução própria ao recurso por excelência - o de apelação. VOTO - REAJUSTE - OPORTUNIDADE. O reajuste de voto é possível até o término da sessão de julgamento. INELEGIBILIDADE - CRIME CONTRA A ADMINISTRAÇÃO PÚBLICA - ATIVIDADE CLANDESTINA DE TELECOMUNICAÇÃO. </w:t>
      </w:r>
      <w:r>
        <w:rPr>
          <w:rFonts w:ascii="Cambria" w:hAnsi="Cambria"/>
          <w:b/>
          <w:bCs/>
          <w:i w:val="false"/>
          <w:iCs w:val="false"/>
          <w:sz w:val="22"/>
          <w:szCs w:val="22"/>
          <w:u w:val="single"/>
        </w:rPr>
        <w:t>O desenvolvimento clandestino de atividades de telecomunicação configura crime contra a Administração Pública, presente o bem protegido, a teor do disposto no artigo 183 da Lei n° 9.472/1 997</w:t>
      </w:r>
      <w:r>
        <w:rPr>
          <w:rFonts w:ascii="Cambria" w:hAnsi="Cambria"/>
          <w:i w:val="false"/>
          <w:iCs w:val="false"/>
          <w:sz w:val="22"/>
          <w:szCs w:val="22"/>
        </w:rPr>
        <w:t xml:space="preserve">. </w:t>
      </w:r>
    </w:p>
    <w:p>
      <w:pPr>
        <w:pStyle w:val="Normal"/>
        <w:tabs>
          <w:tab w:val="clear" w:pos="708"/>
          <w:tab w:val="left" w:pos="2268" w:leader="none"/>
        </w:tabs>
        <w:spacing w:lineRule="auto" w:line="360" w:before="0" w:after="240"/>
        <w:ind w:left="2324" w:right="0" w:hanging="57"/>
        <w:jc w:val="both"/>
        <w:rPr>
          <w:rFonts w:ascii="Cambria" w:hAnsi="Cambria"/>
          <w:i w:val="false"/>
          <w:i w:val="false"/>
          <w:iCs w:val="false"/>
          <w:sz w:val="22"/>
          <w:szCs w:val="22"/>
        </w:rPr>
      </w:pPr>
      <w:r>
        <w:rPr>
          <w:rFonts w:ascii="Cambria" w:hAnsi="Cambria"/>
          <w:i w:val="false"/>
          <w:iCs w:val="false"/>
          <w:sz w:val="22"/>
          <w:szCs w:val="22"/>
        </w:rPr>
        <w:t>(RECURSO ESPECIAL ELEITORAL N° 76-79.2012.6.04.0035 - CLASSE 32 - AUTAZES - AMAZONAS Relator: Ministro Marco Aurélio)</w:t>
      </w:r>
    </w:p>
    <w:p>
      <w:pPr>
        <w:pStyle w:val="Normal"/>
        <w:widowControl/>
        <w:suppressAutoHyphens w:val="true"/>
        <w:bidi w:val="0"/>
        <w:spacing w:lineRule="auto" w:line="360" w:before="0" w:after="240"/>
        <w:ind w:left="0" w:right="0" w:firstLine="1701"/>
        <w:jc w:val="both"/>
        <w:rPr>
          <w:rFonts w:ascii="Cambria" w:hAnsi="Cambria"/>
        </w:rPr>
      </w:pPr>
      <w:r>
        <w:rPr>
          <w:rFonts w:ascii="Cambria" w:hAnsi="Cambria"/>
          <w:i w:val="false"/>
          <w:iCs w:val="false"/>
          <w:szCs w:val="22"/>
        </w:rPr>
        <w:t xml:space="preserve">Por outro lado, como se observa na própria redação do artigo 1º, inciso I, alínea “e” da LC 64/90, esta inelegibilidade perdura </w:t>
      </w:r>
      <w:r>
        <w:rPr>
          <w:rFonts w:ascii="Cambria" w:hAnsi="Cambria"/>
          <w:b/>
          <w:i w:val="false"/>
          <w:iCs w:val="false"/>
          <w:szCs w:val="22"/>
        </w:rPr>
        <w:t>“desde a condenação até o transcurso do prazo de 8 (oito) anos após o cumprimento da pena”</w:t>
      </w:r>
      <w:r>
        <w:rPr>
          <w:rFonts w:ascii="Cambria" w:hAnsi="Cambria"/>
          <w:i w:val="false"/>
          <w:iCs w:val="false"/>
          <w:szCs w:val="22"/>
        </w:rPr>
        <w:t xml:space="preserve">. </w:t>
      </w:r>
    </w:p>
    <w:p>
      <w:pPr>
        <w:pStyle w:val="Normal"/>
        <w:widowControl/>
        <w:suppressAutoHyphens w:val="true"/>
        <w:bidi w:val="0"/>
        <w:spacing w:lineRule="auto" w:line="360" w:before="0" w:after="240"/>
        <w:ind w:left="0" w:right="0" w:firstLine="1701"/>
        <w:jc w:val="both"/>
        <w:rPr>
          <w:rFonts w:ascii="Cambria" w:hAnsi="Cambria"/>
        </w:rPr>
      </w:pPr>
      <w:r>
        <w:rPr>
          <w:rFonts w:ascii="Cambria" w:hAnsi="Cambria"/>
          <w:i w:val="false"/>
          <w:iCs w:val="false"/>
          <w:szCs w:val="22"/>
        </w:rPr>
        <w:t xml:space="preserve">De acordo com a certidão ID 13339860 – pág. 1, apresentada pela própria defesa, a condenação criminal transitou em julgado em XX/XX/XXXX. Já a certidão ID _____________, mostra que os processos de </w:t>
      </w:r>
      <w:r>
        <w:rPr>
          <w:rFonts w:ascii="Cambria" w:hAnsi="Cambria"/>
          <w:b/>
          <w:i w:val="false"/>
          <w:iCs w:val="false"/>
          <w:szCs w:val="22"/>
        </w:rPr>
        <w:t>execução</w:t>
      </w:r>
      <w:r>
        <w:rPr>
          <w:rFonts w:ascii="Cambria" w:hAnsi="Cambria"/>
          <w:i w:val="false"/>
          <w:iCs w:val="false"/>
          <w:szCs w:val="22"/>
        </w:rPr>
        <w:t xml:space="preserve"> p</w:t>
      </w:r>
      <w:r>
        <w:rPr>
          <w:rFonts w:ascii="Cambria" w:hAnsi="Cambria"/>
          <w:b/>
          <w:i w:val="false"/>
          <w:iCs w:val="false"/>
          <w:szCs w:val="22"/>
        </w:rPr>
        <w:t>enal nº _______________</w:t>
      </w:r>
      <w:r>
        <w:rPr>
          <w:rFonts w:ascii="Cambria" w:hAnsi="Cambria"/>
          <w:i w:val="false"/>
          <w:iCs w:val="false"/>
          <w:szCs w:val="22"/>
        </w:rPr>
        <w:t xml:space="preserve"> tiveram </w:t>
      </w:r>
      <w:r>
        <w:rPr>
          <w:rFonts w:ascii="Cambria" w:hAnsi="Cambria"/>
          <w:b/>
          <w:i w:val="false"/>
          <w:iCs w:val="false"/>
          <w:szCs w:val="22"/>
        </w:rPr>
        <w:t>sentença de extinção prolatada em XX/XX/XXXX,</w:t>
      </w:r>
      <w:r>
        <w:rPr>
          <w:rFonts w:ascii="Cambria" w:hAnsi="Cambria"/>
          <w:i w:val="false"/>
          <w:iCs w:val="false"/>
          <w:szCs w:val="22"/>
        </w:rPr>
        <w:t xml:space="preserve"> em virtude da concessão de indulto. </w:t>
      </w:r>
    </w:p>
    <w:p>
      <w:pPr>
        <w:pStyle w:val="Normal"/>
        <w:widowControl/>
        <w:suppressAutoHyphens w:val="true"/>
        <w:bidi w:val="0"/>
        <w:spacing w:lineRule="auto" w:line="360" w:before="0" w:after="240"/>
        <w:ind w:left="0" w:right="0" w:firstLine="1701"/>
        <w:jc w:val="both"/>
        <w:rPr>
          <w:rFonts w:ascii="Cambria" w:hAnsi="Cambria"/>
        </w:rPr>
      </w:pPr>
      <w:r>
        <w:rPr>
          <w:rFonts w:ascii="Cambria" w:hAnsi="Cambria"/>
          <w:i w:val="false"/>
          <w:iCs w:val="false"/>
          <w:szCs w:val="22"/>
        </w:rPr>
        <w:t xml:space="preserve">O indulto é um instituto previsto no artigo 192 da Lei de Execução Penal que estabelece que: “Art. 192. Concedido o indulto e anexada aos autos cópia do decreto, </w:t>
      </w:r>
      <w:r>
        <w:rPr>
          <w:rFonts w:ascii="Cambria" w:hAnsi="Cambria"/>
          <w:b/>
          <w:i w:val="false"/>
          <w:iCs w:val="false"/>
          <w:szCs w:val="22"/>
        </w:rPr>
        <w:t>o Juiz declarará extinta a pena</w:t>
      </w:r>
      <w:r>
        <w:rPr>
          <w:rFonts w:ascii="Cambria" w:hAnsi="Cambria"/>
          <w:i w:val="false"/>
          <w:iCs w:val="false"/>
          <w:szCs w:val="22"/>
        </w:rPr>
        <w:t xml:space="preserve"> ou ajustará a execução aos termos do decreto, no caso de comutação”, ou seja, o indulto é uma forma de extinção da pena decorrente de condenação transitada em julgado, não alterando o fundamento da sentença condenatória. </w:t>
      </w:r>
    </w:p>
    <w:p>
      <w:pPr>
        <w:pStyle w:val="Normal"/>
        <w:widowControl/>
        <w:suppressAutoHyphens w:val="true"/>
        <w:bidi w:val="0"/>
        <w:spacing w:lineRule="auto" w:line="360" w:before="0" w:after="240"/>
        <w:ind w:left="0" w:right="0" w:firstLine="1701"/>
        <w:jc w:val="both"/>
        <w:rPr>
          <w:rFonts w:ascii="Cambria" w:hAnsi="Cambria"/>
        </w:rPr>
      </w:pPr>
      <w:r>
        <w:rPr>
          <w:rFonts w:ascii="Cambria" w:hAnsi="Cambria"/>
          <w:i w:val="false"/>
          <w:iCs w:val="false"/>
          <w:szCs w:val="22"/>
        </w:rPr>
        <w:t xml:space="preserve">A inelegibilidade do artigo 1º, inciso I, “e”, da LC 64/90 teve início com o trânsito em julgado (XX/XX/XXXX) e deve perdurar até oito anos após a extinção da pena que ocorreu em XX/XX/XXXX com a concessão do indulto, isto é, a inelegibilidade persistirá até XX/XX/XXXX. </w:t>
      </w:r>
    </w:p>
    <w:p>
      <w:pPr>
        <w:pStyle w:val="Normal"/>
        <w:widowControl/>
        <w:suppressAutoHyphens w:val="true"/>
        <w:bidi w:val="0"/>
        <w:spacing w:lineRule="auto" w:line="360" w:before="0" w:after="240"/>
        <w:ind w:left="0" w:right="0" w:firstLine="1701"/>
        <w:jc w:val="both"/>
        <w:rPr>
          <w:rFonts w:ascii="Cambria" w:hAnsi="Cambria"/>
        </w:rPr>
      </w:pPr>
      <w:r>
        <w:rPr>
          <w:rFonts w:cs="Arial" w:ascii="Cambria" w:hAnsi="Cambria"/>
          <w:i w:val="false"/>
          <w:iCs w:val="false"/>
          <w:szCs w:val="22"/>
        </w:rPr>
        <w:t xml:space="preserve">Neste sentido, a Súmula 61 do Tribunal Superior Eleitoral, a qual indica: “O prazo concernente à hipótese de inelegibilidade prevista no art. 1º, I, e, da LC nº 64/1990 projeta-se por oito anos após o cumprimento da pena, </w:t>
      </w:r>
      <w:r>
        <w:rPr>
          <w:rFonts w:cs="Arial" w:ascii="Cambria" w:hAnsi="Cambria"/>
          <w:b/>
          <w:bCs/>
          <w:i w:val="false"/>
          <w:iCs w:val="false"/>
          <w:szCs w:val="22"/>
        </w:rPr>
        <w:t>seja ela privativa de liberdade, restritiva de direito ou multa.”</w:t>
      </w:r>
    </w:p>
    <w:p>
      <w:pPr>
        <w:pStyle w:val="Normal"/>
        <w:widowControl/>
        <w:suppressAutoHyphens w:val="true"/>
        <w:bidi w:val="0"/>
        <w:spacing w:lineRule="auto" w:line="360" w:before="0" w:after="240"/>
        <w:ind w:left="0" w:right="0" w:firstLine="1701"/>
        <w:jc w:val="both"/>
        <w:rPr>
          <w:rFonts w:ascii="Cambria" w:hAnsi="Cambria"/>
          <w:i w:val="false"/>
          <w:i w:val="false"/>
          <w:iCs w:val="false"/>
          <w:szCs w:val="22"/>
        </w:rPr>
      </w:pPr>
      <w:r>
        <w:rPr>
          <w:rFonts w:ascii="Cambria" w:hAnsi="Cambria"/>
          <w:i w:val="false"/>
          <w:iCs w:val="false"/>
          <w:szCs w:val="22"/>
        </w:rPr>
        <w:t>Por derradeiro, deve se salientar que o fato do impugnado ter sido candidato com registro deferido em outras eleições em nada repercute no presente feito. É cediço que não há direito adquirido à elegibilidade, devendo as condições de elegibilidade e as causas de inelegibilidade ser aferidas a cada eleição, inteligência do artigo 11, § 10 da Lei nº 9.504/97 (Art. 11. § 10. As condições de elegibilidade e as causas de inelegibilidade devem ser aferidas no momento da formalização do pedido de registro da candidatura, ressalvadas as alterações, fáticas ou jurídicas, supervenientes ao registro que afastem a inelegibilidade).</w:t>
      </w:r>
    </w:p>
    <w:p>
      <w:pPr>
        <w:pStyle w:val="Normal"/>
        <w:widowControl/>
        <w:suppressAutoHyphens w:val="true"/>
        <w:bidi w:val="0"/>
        <w:spacing w:lineRule="auto" w:line="360" w:before="0" w:after="240"/>
        <w:ind w:left="0" w:right="0" w:firstLine="1701"/>
        <w:jc w:val="both"/>
        <w:rPr>
          <w:rFonts w:ascii="Cambria" w:hAnsi="Cambria"/>
        </w:rPr>
      </w:pPr>
      <w:r>
        <w:rPr>
          <w:rFonts w:ascii="Cambria" w:hAnsi="Cambria"/>
          <w:i w:val="false"/>
          <w:iCs w:val="false"/>
          <w:szCs w:val="22"/>
        </w:rPr>
        <w:t xml:space="preserve">Reiterando o que já dito na exordial, o impugnado foi condenado como incurso nas penas do </w:t>
      </w:r>
      <w:r>
        <w:rPr>
          <w:rFonts w:ascii="Cambria" w:hAnsi="Cambria"/>
          <w:b/>
          <w:i w:val="false"/>
          <w:iCs w:val="false"/>
          <w:szCs w:val="22"/>
        </w:rPr>
        <w:t xml:space="preserve">art. 183, caput, da Lei n. 9.472/97, crime contra a Administração Pública, não enquadrado como crime de menor potencial ofensivo, com sentença transitada em julgado, com pena que, apesar de extinta por indulto na fase da execução penal, ainda não decorreu o prazo de oito anos após a sua extinção, ou seja, presentes todos os elementos da inelegibilidade do artigo 1º, inciso I, alínea “e”, 1, da LC 64/90. </w:t>
      </w:r>
    </w:p>
    <w:p>
      <w:pPr>
        <w:pStyle w:val="Normal"/>
        <w:widowControl/>
        <w:suppressAutoHyphens w:val="true"/>
        <w:overflowPunct w:val="false"/>
        <w:bidi w:val="0"/>
        <w:spacing w:lineRule="auto" w:line="360" w:before="0" w:after="240"/>
        <w:ind w:left="0" w:right="0" w:firstLine="1701"/>
        <w:jc w:val="both"/>
        <w:rPr>
          <w:rFonts w:ascii="Cambria" w:hAnsi="Cambria"/>
        </w:rPr>
      </w:pPr>
      <w:r>
        <w:rPr>
          <w:rFonts w:cs="Arial" w:ascii="Cambria" w:hAnsi="Cambria"/>
          <w:i w:val="false"/>
          <w:iCs w:val="false"/>
          <w:color w:val="000000"/>
          <w:szCs w:val="22"/>
        </w:rPr>
        <w:t>D</w:t>
      </w:r>
      <w:r>
        <w:rPr>
          <w:rFonts w:cs="Arial" w:ascii="Cambria" w:hAnsi="Cambria"/>
          <w:i w:val="false"/>
          <w:iCs w:val="false"/>
          <w:color w:val="000000"/>
          <w:szCs w:val="22"/>
        </w:rPr>
        <w:t>esta feita</w:t>
      </w:r>
      <w:r>
        <w:rPr>
          <w:rFonts w:cs="Arial" w:ascii="Cambria" w:hAnsi="Cambria"/>
          <w:i w:val="false"/>
          <w:iCs w:val="false"/>
          <w:color w:val="000000"/>
          <w:szCs w:val="22"/>
        </w:rPr>
        <w:t xml:space="preserve">, após considerar todos os argumentos acima expostos, e uma vez analisadas as justificativas apresentadas pelo impugnado, eis que o Ministério Público Eleitoral vem à presença deste juízo reiterar pela </w:t>
      </w:r>
      <w:r>
        <w:rPr>
          <w:rFonts w:cs="Arial" w:ascii="Cambria" w:hAnsi="Cambria"/>
          <w:b/>
          <w:bCs/>
          <w:i w:val="false"/>
          <w:iCs w:val="false"/>
          <w:color w:val="000000"/>
          <w:szCs w:val="22"/>
          <w:u w:val="single"/>
        </w:rPr>
        <w:t>procedência</w:t>
      </w:r>
      <w:r>
        <w:rPr>
          <w:rFonts w:cs="Arial" w:ascii="Cambria" w:hAnsi="Cambria"/>
          <w:i w:val="false"/>
          <w:iCs w:val="false"/>
          <w:color w:val="000000"/>
          <w:szCs w:val="22"/>
        </w:rPr>
        <w:t xml:space="preserve"> da </w:t>
      </w:r>
      <w:r>
        <w:rPr>
          <w:rFonts w:cs="Arial" w:ascii="Cambria" w:hAnsi="Cambria"/>
          <w:b/>
          <w:bCs/>
          <w:i w:val="false"/>
          <w:iCs w:val="false"/>
          <w:color w:val="000000"/>
          <w:szCs w:val="22"/>
        </w:rPr>
        <w:t xml:space="preserve">AÇÃO DE </w:t>
      </w:r>
      <w:r>
        <w:rPr>
          <w:rFonts w:cs="Arial" w:ascii="Cambria" w:hAnsi="Cambria"/>
          <w:b/>
          <w:bCs/>
          <w:i w:val="false"/>
          <w:iCs w:val="false"/>
          <w:color w:val="000000"/>
          <w:szCs w:val="22"/>
          <w:u w:val="single"/>
        </w:rPr>
        <w:t>IMPUGNAÇÃO</w:t>
      </w:r>
      <w:r>
        <w:rPr>
          <w:rFonts w:cs="Arial" w:ascii="Cambria" w:hAnsi="Cambria"/>
          <w:b/>
          <w:bCs/>
          <w:i w:val="false"/>
          <w:iCs w:val="false"/>
          <w:color w:val="000000"/>
          <w:szCs w:val="22"/>
        </w:rPr>
        <w:t xml:space="preserve"> DO REGISTRO DE CANDIDATURA</w:t>
      </w:r>
      <w:r>
        <w:rPr>
          <w:rFonts w:cs="Arial" w:ascii="Cambria" w:hAnsi="Cambria"/>
          <w:i w:val="false"/>
          <w:iCs w:val="false"/>
          <w:color w:val="000000"/>
          <w:szCs w:val="22"/>
        </w:rPr>
        <w:t xml:space="preserve"> interposta contra o RRC do candidato a vereador </w:t>
      </w:r>
      <w:r>
        <w:rPr>
          <w:rStyle w:val="Nfaseforte"/>
          <w:rFonts w:cs="Arial" w:ascii="Cambria" w:hAnsi="Cambria"/>
          <w:i w:val="false"/>
          <w:iCs w:val="false"/>
          <w:color w:val="000000"/>
          <w:sz w:val="21"/>
          <w:szCs w:val="21"/>
        </w:rPr>
        <w:t>___________________</w:t>
      </w:r>
      <w:r>
        <w:rPr>
          <w:rFonts w:cs="Arial" w:ascii="Cambria" w:hAnsi="Cambria"/>
          <w:b/>
          <w:bCs/>
          <w:i w:val="false"/>
          <w:iCs w:val="false"/>
          <w:color w:val="000000"/>
          <w:szCs w:val="22"/>
        </w:rPr>
        <w:t xml:space="preserve">, </w:t>
      </w:r>
      <w:r>
        <w:rPr>
          <w:rFonts w:cs="Arial" w:ascii="Cambria" w:hAnsi="Cambria"/>
          <w:i w:val="false"/>
          <w:iCs w:val="false"/>
          <w:color w:val="000000"/>
          <w:szCs w:val="22"/>
        </w:rPr>
        <w:t>posto que as justificativas por ele apresentadas não se constituem em elementos e provas suficientes para afastar a inelegibilidade estatuída pela Lei Complementar 64/90, Art. 1º, I, “e”, 1, nos termos em que exposto e requerido na petição inicial.</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2"/>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 w:name="Cambria">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character" w:styleId="Fontepargpadro2">
    <w:name w:val="Fonte parág. padrão2"/>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26</TotalTime>
  <Application>LibreOffice/7.2.6.2$Windows_X86_64 LibreOffice_project/b0ec3a565991f7569a5a7f5d24fed7f52653d754</Application>
  <AppVersion>15.0000</AppVersion>
  <Pages>5</Pages>
  <Words>1198</Words>
  <Characters>6249</Characters>
  <CharactersWithSpaces>7428</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2023-06-07T05:31:28Z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