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Trata-se de Requerimento de Registro de Candidatura – RRC do candidato </w:t>
      </w:r>
      <w:r>
        <w:rPr>
          <w:rFonts w:cs="Tahoma" w:ascii="Cambria" w:hAnsi="Cambria"/>
          <w:sz w:val="24"/>
          <w:szCs w:val="24"/>
          <w:shd w:fill="FFFF00" w:val="clear"/>
        </w:rPr>
        <w:t>XXXX</w:t>
      </w:r>
      <w:r>
        <w:rPr>
          <w:rFonts w:cs="Tahoma" w:ascii="Cambria" w:hAnsi="Cambria"/>
          <w:sz w:val="24"/>
          <w:szCs w:val="24"/>
        </w:rPr>
        <w:t xml:space="preserve">, o qual se candidatou ao cargo de </w:t>
      </w:r>
      <w:r>
        <w:rPr>
          <w:rFonts w:cs="Tahoma" w:ascii="Cambria" w:hAnsi="Cambria"/>
          <w:sz w:val="24"/>
          <w:szCs w:val="24"/>
          <w:shd w:fill="FFFF00" w:val="clear"/>
        </w:rPr>
        <w:t>XXXX</w:t>
      </w:r>
      <w:r>
        <w:rPr>
          <w:rFonts w:cs="Tahoma" w:ascii="Cambria" w:hAnsi="Cambria"/>
          <w:sz w:val="24"/>
          <w:szCs w:val="24"/>
        </w:rPr>
        <w:t xml:space="preserve"> no município de </w:t>
      </w:r>
      <w:r>
        <w:rPr>
          <w:rFonts w:cs="Tahoma" w:ascii="Cambria" w:hAnsi="Cambria"/>
          <w:sz w:val="24"/>
          <w:szCs w:val="24"/>
          <w:shd w:fill="FFFF00" w:val="clear"/>
        </w:rPr>
        <w:t>XXXX</w:t>
      </w:r>
      <w:r>
        <w:rPr>
          <w:rFonts w:cs="Tahoma" w:ascii="Cambria" w:hAnsi="Cambria"/>
          <w:sz w:val="24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Verifica-se que foi apresentada Ação de Impugnação de Registro de Candidatura – AIRC, alegando, em apertada síntese, que o candidato </w:t>
      </w:r>
      <w:r>
        <w:rPr>
          <w:rFonts w:cs="Tahoma" w:ascii="Cambria" w:hAnsi="Cambria"/>
          <w:sz w:val="24"/>
          <w:szCs w:val="24"/>
          <w:shd w:fill="FFFF00" w:val="clear"/>
        </w:rPr>
        <w:t>XXXX (descrever resumidamente o motivo da impugnação)</w:t>
      </w:r>
      <w:r>
        <w:rPr>
          <w:rFonts w:cs="Tahoma" w:ascii="Cambria" w:hAnsi="Cambria"/>
          <w:sz w:val="24"/>
          <w:szCs w:val="24"/>
        </w:rPr>
        <w:t xml:space="preserve">, conforme petição inicial de ff. </w:t>
      </w:r>
      <w:r>
        <w:rPr>
          <w:rFonts w:cs="Tahoma" w:ascii="Cambria" w:hAnsi="Cambria"/>
          <w:sz w:val="24"/>
          <w:szCs w:val="24"/>
          <w:shd w:fill="FFFF00" w:val="clear"/>
        </w:rPr>
        <w:t>XX/XX</w:t>
      </w:r>
      <w:r>
        <w:rPr>
          <w:rFonts w:cs="Tahoma" w:ascii="Cambria" w:hAnsi="Cambria"/>
          <w:sz w:val="24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O candidato impugnado foi devidamente notificado e apresentou contestação às ff. </w:t>
      </w:r>
      <w:r>
        <w:rPr>
          <w:rFonts w:cs="Tahoma" w:ascii="Cambria" w:hAnsi="Cambria"/>
          <w:sz w:val="24"/>
          <w:szCs w:val="24"/>
          <w:shd w:fill="FFFF00" w:val="clear"/>
        </w:rPr>
        <w:t>XX/XX</w:t>
      </w:r>
      <w:r>
        <w:rPr>
          <w:rFonts w:cs="Tahoma" w:ascii="Cambria" w:hAnsi="Cambria"/>
          <w:sz w:val="24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Encerrada a instrução processual, as partes apresentaram alegações finais em ff. </w:t>
      </w:r>
      <w:r>
        <w:rPr>
          <w:rFonts w:cs="Tahoma" w:ascii="Cambria" w:hAnsi="Cambria"/>
          <w:sz w:val="24"/>
          <w:szCs w:val="24"/>
          <w:shd w:fill="FFFF00" w:val="clear"/>
        </w:rPr>
        <w:t>XX/XX e XX/XX</w:t>
      </w:r>
      <w:r>
        <w:rPr>
          <w:rFonts w:cs="Tahoma" w:ascii="Cambria" w:hAnsi="Cambria"/>
          <w:sz w:val="24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Após, vieram os autos para manifestação do Ministério Público Eleitoral como fiscal da ordem jurídica.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É a síntese do necessário.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Deverá ser julgada </w:t>
      </w:r>
      <w:r>
        <w:rPr>
          <w:rFonts w:cs="Tahoma" w:ascii="Cambria" w:hAnsi="Cambria"/>
          <w:sz w:val="24"/>
          <w:szCs w:val="24"/>
          <w:u w:val="single"/>
          <w:shd w:fill="FFFF00" w:val="clear"/>
        </w:rPr>
        <w:t>procedente ou improcedente</w:t>
      </w:r>
      <w:r>
        <w:rPr>
          <w:rFonts w:cs="Tahoma" w:ascii="Cambria" w:hAnsi="Cambria"/>
          <w:sz w:val="24"/>
          <w:szCs w:val="24"/>
        </w:rPr>
        <w:t xml:space="preserve"> a Ação de Impugnação de Registro de Candidatura – AIRC apresentada pelo impugnante, com o consequente </w:t>
      </w:r>
      <w:r>
        <w:rPr>
          <w:rFonts w:cs="Tahoma" w:ascii="Cambria" w:hAnsi="Cambria"/>
          <w:b/>
          <w:sz w:val="24"/>
          <w:szCs w:val="24"/>
          <w:shd w:fill="FFFF00" w:val="clear"/>
        </w:rPr>
        <w:t>deferimento ou indeferimento</w:t>
      </w:r>
      <w:r>
        <w:rPr>
          <w:rFonts w:cs="Tahoma" w:ascii="Cambria" w:hAnsi="Cambria"/>
          <w:b/>
          <w:sz w:val="24"/>
          <w:szCs w:val="24"/>
        </w:rPr>
        <w:t xml:space="preserve"> </w:t>
      </w:r>
      <w:r>
        <w:rPr>
          <w:rFonts w:cs="Tahoma" w:ascii="Cambria" w:hAnsi="Cambria"/>
          <w:sz w:val="24"/>
          <w:szCs w:val="24"/>
        </w:rPr>
        <w:t xml:space="preserve">do registro de candidatura de </w:t>
      </w:r>
      <w:r>
        <w:rPr>
          <w:rFonts w:cs="Tahoma" w:ascii="Cambria" w:hAnsi="Cambria"/>
          <w:sz w:val="24"/>
          <w:szCs w:val="24"/>
          <w:shd w:fill="FFFF00" w:val="clear"/>
        </w:rPr>
        <w:t>XXXX</w:t>
      </w:r>
      <w:r>
        <w:rPr>
          <w:rFonts w:cs="Tahoma" w:ascii="Cambria" w:hAnsi="Cambria"/>
          <w:sz w:val="24"/>
          <w:szCs w:val="24"/>
        </w:rPr>
        <w:t>. Senão vejamos.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Como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é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cediço,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para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que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uma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pessoa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venha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registrar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sua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candidatura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junto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à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Justiça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Eleitoral,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passando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obter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direito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de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ser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votado,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deve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atender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às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b/>
          <w:sz w:val="24"/>
          <w:szCs w:val="24"/>
          <w:lang w:eastAsia="pt-BR"/>
        </w:rPr>
        <w:t>condições</w:t>
      </w:r>
      <w:r>
        <w:rPr>
          <w:rFonts w:eastAsia="Verdana" w:cs="Tahoma" w:ascii="Cambria" w:hAnsi="Cambria"/>
          <w:b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b/>
          <w:sz w:val="24"/>
          <w:szCs w:val="24"/>
          <w:lang w:eastAsia="pt-BR"/>
        </w:rPr>
        <w:t>de</w:t>
      </w:r>
      <w:r>
        <w:rPr>
          <w:rFonts w:eastAsia="Verdana" w:cs="Tahoma" w:ascii="Cambria" w:hAnsi="Cambria"/>
          <w:b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b/>
          <w:sz w:val="24"/>
          <w:szCs w:val="24"/>
          <w:lang w:eastAsia="pt-BR"/>
        </w:rPr>
        <w:t>elegibilidade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previstas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no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art.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14,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§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3º,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da Constituição</w:t>
      </w:r>
      <w:r>
        <w:rPr>
          <w:rFonts w:cs="Tahoma" w:ascii="Cambria" w:hAnsi="Cambria"/>
          <w:sz w:val="24"/>
          <w:szCs w:val="24"/>
          <w:lang w:eastAsia="pt-BR"/>
        </w:rPr>
        <w:t xml:space="preserve">, e não incidir em nenhuma </w:t>
      </w:r>
      <w:r>
        <w:rPr>
          <w:rFonts w:cs="Tahoma" w:ascii="Cambria" w:hAnsi="Cambria"/>
          <w:b/>
          <w:sz w:val="24"/>
          <w:szCs w:val="24"/>
          <w:lang w:eastAsia="pt-BR"/>
        </w:rPr>
        <w:t>causa de inelegibilidade</w:t>
      </w:r>
      <w:r>
        <w:rPr>
          <w:rFonts w:cs="Tahoma" w:ascii="Cambria" w:hAnsi="Cambria"/>
          <w:sz w:val="24"/>
          <w:szCs w:val="24"/>
          <w:lang w:eastAsia="pt-BR"/>
        </w:rPr>
        <w:t xml:space="preserve"> previ</w:t>
      </w:r>
      <w:r>
        <w:rPr>
          <w:rFonts w:eastAsia="Verdana" w:cs="Tahoma" w:ascii="Cambria" w:hAnsi="Cambria"/>
          <w:sz w:val="24"/>
          <w:szCs w:val="24"/>
          <w:lang w:eastAsia="pt-BR"/>
        </w:rPr>
        <w:t>sta na Constituição ou na Lei Complementar 64/90.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No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caso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em análise,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verifica-se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que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impugnado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 xml:space="preserve"> XXXXX (citar a condição de elegibilidade ou a causa de inelegibilidade alegada na impugnação)</w:t>
      </w:r>
      <w:r>
        <w:rPr>
          <w:rFonts w:cs="Tahoma" w:ascii="Cambria" w:hAnsi="Cambria"/>
          <w:sz w:val="24"/>
          <w:szCs w:val="24"/>
          <w:lang w:eastAsia="pt-BR"/>
        </w:rPr>
        <w:t xml:space="preserve">, nos termos do art. XXXXX.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(citar a base legal)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Com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efeito,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lang w:eastAsia="pt-BR"/>
        </w:rPr>
        <w:t>impugnado</w:t>
      </w:r>
      <w:r>
        <w:rPr>
          <w:rFonts w:eastAsia="Verdana"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XXXXX</w:t>
      </w:r>
      <w:r>
        <w:rPr>
          <w:rFonts w:cs="Tahoma" w:ascii="Cambria" w:hAnsi="Cambria"/>
          <w:sz w:val="24"/>
          <w:szCs w:val="24"/>
          <w:lang w:eastAsia="pt-BR"/>
        </w:rPr>
        <w:t xml:space="preserve">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(explicar se o candidato atende ou não a condição de elegibilidade e/ou a causa de inelegibilidade alegada pelo impugnante, com todos os seus detalhes e requisitos, indicando as provas inclusive.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 xml:space="preserve">Nesse sentido, a prova produzida demonstra que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XXX (abordar a prova documental e/ou testemunhal que sustenta a posição do Ministério Público.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 xml:space="preserve">Sobre esta causa de inelegibilidade leciona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XXXX</w:t>
      </w:r>
      <w:r>
        <w:rPr>
          <w:rFonts w:cs="Tahoma" w:ascii="Cambria" w:hAnsi="Cambria"/>
          <w:sz w:val="24"/>
          <w:szCs w:val="24"/>
          <w:lang w:eastAsia="pt-BR"/>
        </w:rPr>
        <w:t>:</w:t>
      </w:r>
    </w:p>
    <w:p>
      <w:pPr>
        <w:pStyle w:val="Standard"/>
        <w:widowControl w:val="false"/>
        <w:spacing w:lineRule="auto" w:line="360" w:before="240" w:after="0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(citar alguma doutrina)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>Ademais, a jurisprudência dos Tribunais Eleitorais, também confirma a necessidade do indeferimento do registro, como se observa:</w:t>
      </w:r>
    </w:p>
    <w:p>
      <w:pPr>
        <w:pStyle w:val="Standard"/>
        <w:widowControl w:val="false"/>
        <w:spacing w:lineRule="auto" w:line="360" w:before="240" w:after="0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(citar 1 ou mais jurisprudências do TSE ou de TREs)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lang w:eastAsia="pt-BR"/>
        </w:rPr>
        <w:t xml:space="preserve">Dessa forma, verificando-se que o candidato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atende ou não atende</w:t>
      </w:r>
      <w:r>
        <w:rPr>
          <w:rFonts w:cs="Tahoma" w:ascii="Cambria" w:hAnsi="Cambria"/>
          <w:sz w:val="24"/>
          <w:szCs w:val="24"/>
          <w:lang w:eastAsia="pt-BR"/>
        </w:rPr>
        <w:t xml:space="preserve"> todos os requisitos constitucionais e legais para ser candidato, o </w:t>
      </w:r>
      <w:r>
        <w:rPr>
          <w:rFonts w:cs="Tahoma" w:ascii="Cambria" w:hAnsi="Cambria"/>
          <w:sz w:val="24"/>
          <w:szCs w:val="24"/>
          <w:shd w:fill="FFFF00" w:val="clear"/>
          <w:lang w:eastAsia="pt-BR"/>
        </w:rPr>
        <w:t>deferimento ou indeferimento</w:t>
      </w:r>
      <w:r>
        <w:rPr>
          <w:rFonts w:cs="Tahoma" w:ascii="Cambria" w:hAnsi="Cambria"/>
          <w:sz w:val="24"/>
          <w:szCs w:val="24"/>
          <w:lang w:eastAsia="pt-BR"/>
        </w:rPr>
        <w:t xml:space="preserve"> do pedido de registro de candidatura é medida que se impõe.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 w:val="24"/>
          <w:szCs w:val="24"/>
          <w:lang w:eastAsia="pt-BR"/>
        </w:rPr>
      </w:pPr>
      <w:r>
        <w:rPr>
          <w:rFonts w:cs="Tahoma" w:ascii="Cambria" w:hAnsi="Cambria"/>
          <w:sz w:val="24"/>
          <w:szCs w:val="24"/>
          <w:lang w:eastAsia="pt-BR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b/>
          <w:sz w:val="24"/>
          <w:szCs w:val="24"/>
        </w:rPr>
        <w:t>III – Do pedido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 w:val="24"/>
          <w:szCs w:val="24"/>
        </w:rPr>
      </w:pPr>
      <w:r>
        <w:rPr>
          <w:rFonts w:cs="Tahoma" w:ascii="Cambria" w:hAnsi="Cambria"/>
          <w:b/>
          <w:sz w:val="24"/>
          <w:szCs w:val="24"/>
        </w:rPr>
      </w:r>
    </w:p>
    <w:p>
      <w:pPr>
        <w:pStyle w:val="Standard"/>
        <w:widowControl/>
        <w:suppressAutoHyphens w:val="true"/>
        <w:overflowPunct w:val="false"/>
        <w:bidi w:val="0"/>
        <w:spacing w:lineRule="auto" w:line="360" w:before="0" w:after="0"/>
        <w:ind w:firstLine="1701"/>
        <w:jc w:val="both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color w:val="000000"/>
          <w:sz w:val="24"/>
          <w:szCs w:val="24"/>
        </w:rPr>
        <w:t xml:space="preserve">Ante o exposto, o </w:t>
      </w:r>
      <w:r>
        <w:rPr>
          <w:rFonts w:cs="Tahoma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Tahoma" w:ascii="Cambria" w:hAnsi="Cambria"/>
          <w:color w:val="000000"/>
          <w:sz w:val="24"/>
          <w:szCs w:val="24"/>
        </w:rPr>
        <w:t xml:space="preserve"> se manifesta pela </w:t>
      </w:r>
      <w:r>
        <w:rPr>
          <w:rFonts w:cs="Tahoma" w:ascii="Cambria" w:hAnsi="Cambria"/>
          <w:b/>
          <w:color w:val="000000"/>
          <w:sz w:val="24"/>
          <w:szCs w:val="24"/>
          <w:shd w:fill="FFFF00" w:val="clear"/>
        </w:rPr>
        <w:t>procedência ou improcedência</w:t>
      </w:r>
      <w:r>
        <w:rPr>
          <w:rFonts w:cs="Tahoma" w:ascii="Cambria" w:hAnsi="Cambria"/>
          <w:b/>
          <w:color w:val="000000"/>
          <w:sz w:val="24"/>
          <w:szCs w:val="24"/>
        </w:rPr>
        <w:t xml:space="preserve"> d</w:t>
      </w:r>
      <w:r>
        <w:rPr>
          <w:rFonts w:cs="Tahoma" w:ascii="Cambria" w:hAnsi="Cambria"/>
          <w:color w:val="000000"/>
          <w:sz w:val="24"/>
          <w:szCs w:val="24"/>
        </w:rPr>
        <w:t xml:space="preserve">a Ação de Impugnação de Registro de Candidatura apresentada, com o consequente </w:t>
      </w:r>
      <w:r>
        <w:rPr>
          <w:rFonts w:cs="Tahoma" w:ascii="Cambria" w:hAnsi="Cambria"/>
          <w:b/>
          <w:color w:val="000000"/>
          <w:sz w:val="24"/>
          <w:szCs w:val="24"/>
          <w:shd w:fill="FFFF00" w:val="clear"/>
        </w:rPr>
        <w:t>deferimento ou indeferimento</w:t>
      </w:r>
      <w:r>
        <w:rPr>
          <w:rFonts w:cs="Tahoma" w:ascii="Cambria" w:hAnsi="Cambria"/>
          <w:color w:val="000000"/>
          <w:sz w:val="24"/>
          <w:szCs w:val="24"/>
        </w:rPr>
        <w:t xml:space="preserve"> do registro de candidatura do impugnado </w:t>
      </w:r>
      <w:r>
        <w:rPr>
          <w:rFonts w:cs="Tahoma" w:ascii="Cambria" w:hAnsi="Cambria"/>
          <w:color w:val="000000"/>
          <w:sz w:val="24"/>
          <w:szCs w:val="24"/>
          <w:shd w:fill="FFFF00" w:val="clear"/>
        </w:rPr>
        <w:t>XXXX.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extbody"/>
        <w:spacing w:lineRule="auto" w:line="360"/>
        <w:ind w:hanging="0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b/>
          <w:sz w:val="24"/>
          <w:szCs w:val="24"/>
          <w:shd w:fill="FFFF00" w:val="clear"/>
        </w:rPr>
        <w:t>Muita Atenção:</w:t>
      </w:r>
    </w:p>
    <w:p>
      <w:pPr>
        <w:pStyle w:val="Textbody"/>
        <w:spacing w:lineRule="auto" w:line="360"/>
        <w:ind w:hanging="0"/>
        <w:rPr>
          <w:rFonts w:ascii="Cambria" w:hAnsi="Cambria"/>
          <w:sz w:val="24"/>
          <w:szCs w:val="24"/>
        </w:rPr>
      </w:pPr>
      <w:r>
        <w:rPr>
          <w:rFonts w:cs="Tahoma" w:ascii="Cambria" w:hAnsi="Cambria"/>
          <w:sz w:val="24"/>
          <w:szCs w:val="24"/>
          <w:shd w:fill="FFFF00" w:val="clear"/>
        </w:rPr>
        <w:t>Caso se sustente o indeferimento do registro e com isso a cota de gênero minoritária fique abaixo percentual mínimo de 30% no respectivo partido, acrescentar o seguinte parágrafo no final no pedido:</w:t>
      </w:r>
    </w:p>
    <w:p>
      <w:pPr>
        <w:pStyle w:val="Textbody"/>
        <w:widowControl/>
        <w:suppressAutoHyphens w:val="true"/>
        <w:overflowPunct w:val="false"/>
        <w:bidi w:val="0"/>
        <w:spacing w:lineRule="auto" w:line="360" w:before="0" w:after="0"/>
        <w:ind w:hanging="0"/>
        <w:jc w:val="left"/>
        <w:rPr>
          <w:rFonts w:ascii="Cambria" w:hAnsi="Cambria"/>
          <w:b w:val="false"/>
          <w:b w:val="false"/>
          <w:bCs w:val="false"/>
          <w:sz w:val="24"/>
          <w:szCs w:val="24"/>
        </w:rPr>
      </w:pPr>
      <w:r>
        <w:rPr>
          <w:rFonts w:cs="Tahoma" w:ascii="Cambria" w:hAnsi="Cambria"/>
          <w:b w:val="false"/>
          <w:bCs w:val="false"/>
          <w:sz w:val="24"/>
          <w:szCs w:val="24"/>
        </w:rPr>
        <w:t xml:space="preserve">Caso seja indeferido o registro de candidatura conforme pleiteado, constata-se que o Partido deixará de atender a cota de gênero prevista no art. 17 da Resolução TSE n. 23.609/2019, motivo pelo qual </w:t>
      </w:r>
      <w:r>
        <w:rPr>
          <w:rFonts w:cs="Tahoma" w:ascii="Cambria" w:hAnsi="Cambria"/>
          <w:b/>
          <w:bCs w:val="false"/>
          <w:sz w:val="24"/>
          <w:szCs w:val="24"/>
        </w:rPr>
        <w:t>requer-se,</w:t>
      </w:r>
      <w:r>
        <w:rPr>
          <w:rFonts w:cs="Tahoma" w:ascii="Cambria" w:hAnsi="Cambria"/>
          <w:b w:val="false"/>
          <w:bCs w:val="false"/>
          <w:sz w:val="24"/>
          <w:szCs w:val="24"/>
        </w:rPr>
        <w:t xml:space="preserve"> desde já, a imediata intimação do respectivo Partido para adequação do percentual mínimo da cota de gênero.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bidi="ar-SA" w:val="pt-BR" w:eastAsia="zh-CN"/>
    </w:rPr>
  </w:style>
  <w:style w:type="paragraph" w:styleId="Textbody">
    <w:name w:val="Text body"/>
    <w:basedOn w:val="Standard"/>
    <w:qFormat/>
    <w:pPr>
      <w:widowControl w:val="false"/>
      <w:spacing w:before="0" w:after="120"/>
    </w:pPr>
    <w:rPr>
      <w:rFonts w:ascii="Times New Roman" w:hAnsi="Times New Roman" w:eastAsia="Lucida Sans Unicode" w:cs="Tahoma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491</Words>
  <Characters>2770</Characters>
  <CharactersWithSpaces>3238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2023-06-07T05:35:07Z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