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Prestação de Contas Anua</w:t>
      </w:r>
      <w:r>
        <w:rPr>
          <w:rFonts w:eastAsia="Cambria" w:cs="Cambria" w:ascii="Cambria" w:hAnsi="Cambria"/>
          <w:b/>
          <w:sz w:val="24"/>
          <w:szCs w:val="24"/>
        </w:rPr>
        <w:t>l</w:t>
      </w:r>
    </w:p>
    <w:p>
      <w:pPr>
        <w:pStyle w:val="Normal1"/>
        <w:widowControl w:val="false"/>
        <w:numPr>
          <w:ilvl w:val="0"/>
          <w:numId w:val="2"/>
        </w:numPr>
        <w:spacing w:lineRule="auto" w:line="360"/>
        <w:ind w:left="0" w:hanging="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Autos n.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Partido: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Modelo MPMS adaptado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MM. </w:t>
      </w:r>
      <w:r>
        <w:rPr>
          <w:rFonts w:eastAsia="Cambria" w:cs="Cambria" w:ascii="Cambria" w:hAnsi="Cambria"/>
          <w:b/>
          <w:sz w:val="24"/>
          <w:szCs w:val="24"/>
        </w:rPr>
        <w:t>J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uiz(a),</w:t>
      </w:r>
    </w:p>
    <w:p>
      <w:pPr>
        <w:pStyle w:val="Normal1"/>
        <w:spacing w:lineRule="auto" w:line="36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Trata-se da prestação de contas do Partido </w:t>
      </w:r>
      <w:r>
        <w:rPr>
          <w:rFonts w:eastAsia="Cambria" w:cs="Cambria" w:ascii="Cambria" w:hAnsi="Cambria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, relativa ao exercício de </w:t>
      </w:r>
      <w:r>
        <w:rPr>
          <w:rFonts w:eastAsia="Cambria" w:cs="Cambria" w:ascii="Cambria" w:hAnsi="Cambria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, com declaração de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ausência de movimentação de recursos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, conforme autoriza o art. 32, § 4º, da Lei n. 9.096/95.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Publicado o edital,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não houve impugnaç</w:t>
      </w:r>
      <w:r>
        <w:rPr>
          <w:rFonts w:eastAsia="Cambria" w:cs="Cambria" w:ascii="Cambria" w:hAnsi="Cambria"/>
          <w:sz w:val="24"/>
          <w:szCs w:val="24"/>
        </w:rPr>
        <w:t>ão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Em </w:t>
      </w:r>
      <w:r>
        <w:rPr>
          <w:rFonts w:eastAsia="Cambria" w:cs="Cambria" w:ascii="Cambria" w:hAnsi="Cambria"/>
          <w:sz w:val="24"/>
          <w:szCs w:val="24"/>
        </w:rPr>
        <w:t>relatório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conclusivo, o Cartório Eleitoral se manifestou </w:t>
      </w:r>
      <w:r>
        <w:rPr>
          <w:rFonts w:eastAsia="Cambria" w:cs="Cambria" w:ascii="Cambria" w:hAnsi="Cambria"/>
          <w:sz w:val="24"/>
          <w:szCs w:val="24"/>
        </w:rPr>
        <w:t>pela aprovação das contas.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É a síntese do necessário.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Compulsando os autos, é possível constatar que o Partido apresentou “Declaração de ausência de movimentação de recursos” no exercício em análise, conforme autoriza o art. 32, § 4º, da Lei 9.096/95, e art. 28, § 4º c/c art. 44, ambos da Resolução TSE n. 23.604/2019.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Em análise técnica, o Cartório Eleitoral constatou o atendimento </w:t>
      </w:r>
      <w:r>
        <w:rPr>
          <w:rFonts w:eastAsia="Cambria" w:cs="Cambria" w:ascii="Cambria" w:hAnsi="Cambria"/>
          <w:sz w:val="24"/>
          <w:szCs w:val="24"/>
        </w:rPr>
        <w:t>à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legislação eleitoral, especialmente os requisitos da Resolução nº 23.604/2019 do Tribunal Superior Eleitoral, não evidenciando qualquer impropriedade relevante ou irregularidade a registrar, concluindo pela aprovação das contas postas sob apreciação.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Por outro lado, a ausência de abertura de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conta bancária, como não houve movimentação financeira, é </w:t>
      </w:r>
      <w:r>
        <w:rPr>
          <w:rFonts w:eastAsia="Cambria" w:cs="Cambria" w:ascii="Cambria" w:hAnsi="Cambria"/>
          <w:sz w:val="24"/>
          <w:szCs w:val="24"/>
        </w:rPr>
        <w:t>assentida.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Dessa forma, 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a aprovação da prestação de contas é medida que se impõe, pela redação do art. 6º, § 3º, da Resolução TSE n. 23.604/2019. 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Ante o exposto e com base no relatório conclusivo do Cartório Eleitoral, o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Ministério Público Eleitoral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manifesta-se para que sejam consideradas </w:t>
      </w:r>
      <w:r>
        <w:rPr>
          <w:rFonts w:eastAsia="Cambria" w:cs="Cambria" w:ascii="Cambria" w:hAnsi="Cambria"/>
          <w:sz w:val="24"/>
          <w:szCs w:val="24"/>
        </w:rPr>
        <w:t>prestadas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e </w:t>
      </w:r>
      <w:r>
        <w:rPr>
          <w:rFonts w:eastAsia="Cambria" w:cs="Cambria" w:ascii="Cambria" w:hAnsi="Cambria"/>
          <w:b/>
          <w:sz w:val="24"/>
          <w:szCs w:val="24"/>
        </w:rPr>
        <w:t>aprovadas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 as contas 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do Partido, nos termos do art. 44, VIII, “a”, da Resolução TSE n. 23.604/2019.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caps w:val="false"/>
          <w:smallCaps w:val="false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caps w:val="false"/>
          <w:smallCaps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________/TO, ___ de _______ de 2023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spacing w:lineRule="auto" w:line="360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XXXX</w:t>
      </w:r>
    </w:p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Promotor(a) Eleitoral</w:t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248</Words>
  <Characters>1364</Characters>
  <CharactersWithSpaces>1595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2023-06-10T16:45:57Z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