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60" w:after="6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MPTO - Célem</w:t>
      </w:r>
    </w:p>
    <w:p>
      <w:pPr>
        <w:pStyle w:val="Normal1"/>
        <w:widowControl w:val="false"/>
        <w:spacing w:lineRule="auto" w:line="276" w:before="60" w:after="6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PROMOÇÃO DE ARQUIVAMENTO</w:t>
      </w:r>
    </w:p>
    <w:p>
      <w:pPr>
        <w:pStyle w:val="Normal1"/>
        <w:widowControl w:val="false"/>
        <w:spacing w:lineRule="auto" w:line="276" w:before="60" w:after="60"/>
        <w:jc w:val="center"/>
        <w:rPr>
          <w:rFonts w:ascii="Cambria" w:hAnsi="Cambria" w:eastAsia="Cambria" w:cs="Cambria"/>
          <w:b/>
          <w:b/>
          <w:sz w:val="20"/>
          <w:szCs w:val="20"/>
        </w:rPr>
      </w:pPr>
      <w:r>
        <w:rPr>
          <w:rFonts w:eastAsia="Cambria" w:cs="Cambria" w:ascii="Cambria" w:hAnsi="Cambria"/>
          <w:b/>
          <w:sz w:val="20"/>
          <w:szCs w:val="20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276" w:before="60" w:after="6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 instaurou procedimento preparatório eleitoral para apuração das irregularidades ______________________ (ou para o acompanhamento de ______________).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 instrução levada a efeito a partir na Notícia de Fato originária (ou da denúncia)</w:t>
      </w:r>
      <w:r>
        <w:rPr>
          <w:rFonts w:eastAsia="Cambria" w:cs="Cambria" w:ascii="Cambria" w:hAnsi="Cambria"/>
          <w:color w:val="FF0000"/>
          <w:sz w:val="24"/>
          <w:szCs w:val="24"/>
        </w:rPr>
        <w:t xml:space="preserve"> demonstrou não se tratar o caso de ilícito eleitoral OU perdeu o objeto OU demonstrou serem inverídicos os fatos narrados OU não logrou êxito na identificação OU resultou no ajuizamento da Ação/Representação</w:t>
      </w:r>
      <w:r>
        <w:rPr>
          <w:rFonts w:eastAsia="Cambria" w:cs="Cambria" w:ascii="Cambria" w:hAnsi="Cambria"/>
          <w:sz w:val="24"/>
          <w:szCs w:val="24"/>
        </w:rPr>
        <w:t xml:space="preserve">, porquanto __________________________. 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Ante o exposto, nos termos do art. 63, </w:t>
      </w:r>
      <w:r>
        <w:rPr>
          <w:rFonts w:eastAsia="Cambria" w:cs="Cambria" w:ascii="Cambria" w:hAnsi="Cambria"/>
          <w:i/>
          <w:sz w:val="24"/>
          <w:szCs w:val="24"/>
        </w:rPr>
        <w:t>caput</w:t>
      </w:r>
      <w:r>
        <w:rPr>
          <w:rFonts w:eastAsia="Cambria" w:cs="Cambria" w:ascii="Cambria" w:hAnsi="Cambria"/>
          <w:sz w:val="24"/>
          <w:szCs w:val="24"/>
        </w:rPr>
        <w:t xml:space="preserve">, da Portaria PGR/PGE 001/2019, </w:t>
      </w:r>
      <w:r>
        <w:rPr>
          <w:rFonts w:eastAsia="Cambria" w:cs="Cambria" w:ascii="Cambria" w:hAnsi="Cambria"/>
          <w:b/>
          <w:sz w:val="24"/>
          <w:szCs w:val="24"/>
        </w:rPr>
        <w:t>promovo o arquivamento</w:t>
      </w:r>
      <w:r>
        <w:rPr>
          <w:rFonts w:eastAsia="Cambria" w:cs="Cambria" w:ascii="Cambria" w:hAnsi="Cambria"/>
          <w:sz w:val="24"/>
          <w:szCs w:val="24"/>
        </w:rPr>
        <w:t xml:space="preserve"> do procedimento extrajudicial.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DETERMINO</w:t>
      </w:r>
      <w:r>
        <w:rPr>
          <w:rFonts w:eastAsia="Cambria" w:cs="Cambria" w:ascii="Cambria" w:hAnsi="Cambria"/>
          <w:sz w:val="24"/>
          <w:szCs w:val="24"/>
        </w:rPr>
        <w:t>, por necessárias, as seguintes providências: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1. Dê-se publicidade por meio de publicação no Diário Oficial Eletrônico;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2. Comunique-se ao Procurador Regional Eleitoral para análise e homologação do arquivamento;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3. Cientifique-se o representante para eventual apresentação de razão e documentos que serão juntados aos autos para nova apreciação do órgão revisional do Ministério Público Eleitoral.</w:t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60" w:after="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157</Words>
  <Characters>1006</Characters>
  <CharactersWithSpaces>1151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2023-06-11T07:03:57Z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