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firstLine="708"/>
        <w:jc w:val="both"/>
        <w:rPr>
          <w:rFonts w:ascii="Cambria" w:hAnsi="Cambria" w:cs="Arial"/>
          <w:b/>
          <w:b/>
          <w:color w:val="C9211E"/>
        </w:rPr>
      </w:pPr>
      <w:r>
        <w:rPr>
          <w:rFonts w:cs="Arial" w:ascii="Cambria" w:hAnsi="Cambria"/>
          <w:b/>
          <w:color w:val="C9211E"/>
        </w:rPr>
        <w:t>MPCE - Adaptada</w:t>
      </w:r>
    </w:p>
    <w:p>
      <w:pPr>
        <w:pStyle w:val="Standard"/>
        <w:ind w:firstLine="708"/>
        <w:jc w:val="both"/>
        <w:rPr>
          <w:rFonts w:ascii="Cambria" w:hAnsi="Cambria" w:cs="Arial"/>
          <w:b/>
          <w:b/>
        </w:rPr>
      </w:pPr>
      <w:r>
        <w:rPr>
          <w:rFonts w:cs="Arial" w:ascii="Cambria" w:hAnsi="Cambria"/>
          <w:b/>
        </w:rPr>
      </w:r>
    </w:p>
    <w:p>
      <w:pPr>
        <w:pStyle w:val="Standard"/>
        <w:jc w:val="center"/>
        <w:rPr>
          <w:rFonts w:ascii="Cambria" w:hAnsi="Cambria"/>
        </w:rPr>
      </w:pPr>
      <w:r>
        <w:rPr>
          <w:rFonts w:cs="Arial" w:ascii="Cambria" w:hAnsi="Cambria"/>
          <w:b/>
        </w:rPr>
        <w:t>RECOMENDAÇÃO N.º _____/2024</w:t>
      </w:r>
    </w:p>
    <w:p>
      <w:pPr>
        <w:pStyle w:val="Standard"/>
        <w:ind w:firstLine="708"/>
        <w:jc w:val="both"/>
        <w:rPr>
          <w:rFonts w:ascii="Cambria" w:hAnsi="Cambria" w:cs="Arial"/>
          <w:b/>
          <w:b/>
        </w:rPr>
      </w:pPr>
      <w:r>
        <w:rPr>
          <w:rFonts w:cs="Arial" w:ascii="Cambria" w:hAnsi="Cambria"/>
          <w:b/>
        </w:rPr>
      </w:r>
    </w:p>
    <w:p>
      <w:pPr>
        <w:pStyle w:val="Standard"/>
        <w:jc w:val="both"/>
        <w:rPr>
          <w:rFonts w:ascii="Cambria" w:hAnsi="Cambria" w:cs="Arial"/>
        </w:rPr>
      </w:pPr>
      <w:r>
        <w:rPr>
          <w:rFonts w:cs="Arial" w:ascii="Cambria" w:hAnsi="Cambria"/>
        </w:rPr>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rPr>
        <w:t xml:space="preserve">O </w:t>
      </w:r>
      <w:r>
        <w:rPr>
          <w:rFonts w:cs="Arial" w:ascii="Cambria" w:hAnsi="Cambria"/>
        </w:rPr>
        <w:t>r</w:t>
      </w:r>
      <w:r>
        <w:rPr>
          <w:rFonts w:cs="Arial" w:ascii="Cambria" w:hAnsi="Cambria"/>
        </w:rPr>
        <w:t>epresentante do Ministério Público Eleitoral nesta zona, no uso de suas atribuições legais e na forma como dispõem os arts. 37, § 1º e 127 da Constituição Federal, Lei Complementar Federal nº 75/93; Lei Federal nº 8.625/93 (Lei Orgânica Nacional do Ministério Público); Lei Federal nº 9.504/97 (Lei das Eleições) e demais disposições legais aplicáveis à espécie, e;</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 xml:space="preserve">CONSIDERANDO </w:t>
      </w:r>
      <w:r>
        <w:rPr>
          <w:rFonts w:cs="Arial" w:ascii="Cambria" w:hAnsi="Cambria"/>
        </w:rPr>
        <w:t>ser atribuição legal do Ministério Público expedir recomendações visando à melhoria dos serviços públicos e de relevância pública, bem como ao respeito, aos interesses, direitos e bens cuja defesa lhe cabe promover (art. 6º, inciso XX da LC 75/93);</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 xml:space="preserve">CONSIDERANDO </w:t>
      </w:r>
      <w:r>
        <w:rPr>
          <w:rFonts w:cs="Arial" w:ascii="Cambria" w:hAnsi="Cambria"/>
        </w:rPr>
        <w:t>que incumbe ao Ministério Público a defesa da ordem jurídica e do regime democrático (art. 127 da CF/88), como também o acompanhamento de todas as fases do processo eleitoral (art. 72 da Lei Complementar Federal n. 75/93);</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CONSIDERANDO</w:t>
      </w:r>
      <w:r>
        <w:rPr>
          <w:rFonts w:cs="Arial" w:ascii="Cambria" w:hAnsi="Cambria"/>
        </w:rPr>
        <w:t xml:space="preserve"> que a democracia pressupõe liberdade e autonomia do eleitor na escolha de seus candidatos;</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rPr>
        <w:tab/>
      </w:r>
      <w:r>
        <w:rPr>
          <w:rFonts w:cs="Arial" w:ascii="Cambria" w:hAnsi="Cambria"/>
          <w:b/>
        </w:rPr>
        <w:t>CONSIDERANDO</w:t>
      </w:r>
      <w:r>
        <w:rPr>
          <w:rFonts w:cs="Arial" w:ascii="Cambria" w:hAnsi="Cambria"/>
        </w:rPr>
        <w:t xml:space="preserve"> que o abuso do poder econômico e do poder político, como também o uso indevido dos veículos e meios de comunicação social constituem expedientes que atentam contra a isonomia de oportunidades dos candidatos e contra a liberdade de escolha dos eleitores, afetando a normalidade e a legitimidade das eleições;</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CONSIDERANDO</w:t>
      </w:r>
      <w:r>
        <w:rPr>
          <w:rFonts w:cs="Arial" w:ascii="Cambria" w:hAnsi="Cambria"/>
        </w:rPr>
        <w:t xml:space="preserve"> que a legislação eleitoral vigente elenca como condutas vedadas diversas práticas com finalidade escusas e eleitoreiras;</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CONSIDERANDO</w:t>
      </w:r>
      <w:r>
        <w:rPr>
          <w:rFonts w:cs="Arial" w:ascii="Cambria" w:hAnsi="Cambria"/>
        </w:rPr>
        <w:t xml:space="preserve"> que em relação às referidas práticas a lei eleitoral atribui penalidades para seus responsáveis e beneficiários;</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bCs/>
        </w:rPr>
        <w:t>CONSIDERANDO</w:t>
      </w:r>
      <w:r>
        <w:rPr>
          <w:rFonts w:cs="Arial" w:ascii="Cambria" w:hAnsi="Cambria"/>
          <w:bCs/>
        </w:rPr>
        <w:t xml:space="preserve"> que o Ministério Público, na defesa do regime democrático e da lisura do pleito,</w:t>
      </w:r>
      <w:r>
        <w:rPr>
          <w:rFonts w:cs="Arial" w:ascii="Cambria" w:hAnsi="Cambria"/>
          <w:b/>
          <w:bCs/>
          <w:u w:val="single"/>
        </w:rPr>
        <w:t xml:space="preserve"> busca a</w:t>
      </w:r>
      <w:r>
        <w:rPr>
          <w:rFonts w:cs="Arial" w:ascii="Cambria" w:hAnsi="Cambria"/>
          <w:b/>
          <w:bCs/>
          <w:u w:val="thick"/>
        </w:rPr>
        <w:t>tuar preventivamente</w:t>
      </w:r>
      <w:r>
        <w:rPr>
          <w:rFonts w:cs="Arial" w:ascii="Cambria" w:hAnsi="Cambria"/>
          <w:bCs/>
        </w:rPr>
        <w:t>, contribuindo para que se evitem os atos viciosos das eleições – como os aqui indicados – e se produzam resultados eleitorais legítimos;</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bCs/>
        </w:rPr>
        <w:t>CONSIDERANDO</w:t>
      </w:r>
      <w:r>
        <w:rPr>
          <w:rFonts w:cs="Arial" w:ascii="Cambria" w:hAnsi="Cambria"/>
          <w:bCs/>
        </w:rPr>
        <w:t xml:space="preserve"> que a recomendação do Ministério Público é </w:t>
      </w:r>
      <w:r>
        <w:rPr>
          <w:rFonts w:cs="Arial" w:ascii="Cambria" w:hAnsi="Cambria"/>
          <w:b/>
          <w:bCs/>
          <w:u w:val="thick"/>
        </w:rPr>
        <w:t>instrumento de orientação</w:t>
      </w:r>
      <w:r>
        <w:rPr>
          <w:rFonts w:cs="Arial" w:ascii="Cambria" w:hAnsi="Cambria"/>
          <w:bCs/>
        </w:rPr>
        <w:t xml:space="preserve"> que visa antecipar-se ao cometimento do ilícito e evitar a imposição de sanções, muitas vezes graves e com repercussões importantes na candidatura;</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rPr>
        <w:t>CONSIDERANDO</w:t>
      </w:r>
      <w:r>
        <w:rPr>
          <w:rFonts w:cs="Arial" w:ascii="Cambria" w:hAnsi="Cambria"/>
        </w:rPr>
        <w:t xml:space="preserve"> que é </w:t>
      </w:r>
      <w:r>
        <w:rPr>
          <w:rFonts w:cs="Arial" w:ascii="Cambria" w:hAnsi="Cambria"/>
          <w:b/>
          <w:bCs/>
        </w:rPr>
        <w:t>vedado a</w:t>
      </w:r>
      <w:r>
        <w:rPr>
          <w:rFonts w:cs="Arial" w:ascii="Cambria" w:hAnsi="Cambria"/>
          <w:b/>
          <w:bCs/>
          <w:color w:val="000000"/>
          <w:shd w:fill="FFFFFF" w:val="clear"/>
        </w:rPr>
        <w:t xml:space="preserve"> qualquer candidato comparecer a inaugurações de obras públicas nos três meses que antecedem o pleito eleitoral</w:t>
      </w:r>
      <w:r>
        <w:rPr>
          <w:rFonts w:cs="Arial" w:ascii="Cambria" w:hAnsi="Cambria"/>
          <w:color w:val="000000"/>
          <w:shd w:fill="FFFFFF" w:val="clear"/>
        </w:rPr>
        <w:t>.</w:t>
      </w:r>
    </w:p>
    <w:p>
      <w:pPr>
        <w:pStyle w:val="Standard"/>
        <w:widowControl/>
        <w:suppressAutoHyphens w:val="true"/>
        <w:overflowPunct w:val="true"/>
        <w:bidi w:val="0"/>
        <w:spacing w:lineRule="auto" w:line="360" w:before="120" w:after="120"/>
        <w:ind w:left="0" w:right="0" w:firstLine="1701"/>
        <w:jc w:val="both"/>
        <w:textAlignment w:val="baseline"/>
        <w:rPr>
          <w:rFonts w:ascii="Cambria" w:hAnsi="Cambria"/>
        </w:rPr>
      </w:pPr>
      <w:r>
        <w:rPr>
          <w:rFonts w:cs="Arial" w:ascii="Cambria" w:hAnsi="Cambria"/>
          <w:b/>
          <w:bCs/>
          <w:color w:val="000000"/>
          <w:shd w:fill="FFFFFF" w:val="clear"/>
        </w:rPr>
        <w:t xml:space="preserve">CONSIDERANDO </w:t>
      </w:r>
      <w:r>
        <w:rPr>
          <w:rFonts w:cs="Arial" w:ascii="Cambria" w:hAnsi="Cambria"/>
          <w:color w:val="000000"/>
          <w:shd w:fill="FFFFFF" w:val="clear"/>
        </w:rPr>
        <w:t>o entendimento do Tribunal Superior Eleitoral ao decidir sobre o RESPE - Agravo Regimental em Recurso Especial Eleitoral nº 29409 - MIGUEL LEÃO – PI:</w:t>
      </w:r>
    </w:p>
    <w:p>
      <w:pPr>
        <w:pStyle w:val="Standard"/>
        <w:tabs>
          <w:tab w:val="clear" w:pos="708"/>
          <w:tab w:val="left" w:pos="934" w:leader="none"/>
          <w:tab w:val="left" w:pos="1474" w:leader="none"/>
        </w:tabs>
        <w:spacing w:lineRule="auto" w:line="360" w:before="120" w:after="120"/>
        <w:ind w:left="1474" w:hanging="0"/>
        <w:jc w:val="both"/>
        <w:rPr>
          <w:rFonts w:ascii="Cambria" w:hAnsi="Cambria"/>
        </w:rPr>
      </w:pPr>
      <w:r>
        <w:rPr>
          <w:rFonts w:ascii="Cambria" w:hAnsi="Cambria"/>
        </w:rPr>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color w:val="000000"/>
          <w:sz w:val="22"/>
          <w:szCs w:val="22"/>
          <w:shd w:fill="FFFFFF" w:val="clear"/>
        </w:rPr>
        <w:t>ELEIÇÕES 2016. AGRAVOS REGIMENTAIS EM RECURSO ESPECIAL ELEITORAL. AUSÊNCIA DE CERCEAMENTO DE DEFESA E VIOLAÇÃO DA COISA JULGADA. CONDUTA VEDADA. ABUSO DE PODER. INDEPENDÊNCIA. ARGUIÇÃO DE INCONSTITUCIONALIDADE. TEMA NÃO DEBATIDO PELO ACÓRDÃO RECORRIDO. MATÉRIA DE ORDEM PÚBLICA. NECESSIDADE DE PREQUESTIONAMENTO. ART. 77 DA LEI Nº 9.504/1997. CONDIÇÃO DE CANDIDATO. DESCOMPASSO LEGISLATIVO. INTERPRETAÇÃO TELEOLÓGICA. PRESERVAÇÃO DO ESPECTRO DE PROTEÇÃO DA NORMA. ABUSO DE PODER. GRAVIDADE DA CONDUTA. REEXAME DE PROVAS. SÚMULA Nº 24/TSE. AGRAVOS DESPROVIDOS.</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color w:val="000000"/>
          <w:sz w:val="22"/>
          <w:szCs w:val="22"/>
          <w:shd w:fill="FFFFFF" w:val="clear"/>
        </w:rPr>
        <w:br/>
        <w:t>(...)</w:t>
      </w:r>
      <w:r>
        <w:rPr>
          <w:rFonts w:cs="Arial" w:ascii="Cambria" w:hAnsi="Cambria"/>
          <w:b/>
          <w:bCs/>
          <w:color w:val="000000"/>
          <w:sz w:val="22"/>
          <w:szCs w:val="22"/>
          <w:shd w:fill="FFFFFF" w:val="clear"/>
        </w:rPr>
        <w:br/>
        <w:t xml:space="preserve">10. O art. 77 da Lei nº 9.504/1997, ao exigir a condição de candidato para a configuração da conduta vedada, deve ser interpretado de acordo com o </w:t>
      </w:r>
      <w:r>
        <w:rPr>
          <w:rFonts w:cs="Arial" w:ascii="Cambria" w:hAnsi="Cambria"/>
          <w:b/>
          <w:bCs/>
          <w:i/>
          <w:iCs/>
          <w:color w:val="000000"/>
          <w:sz w:val="22"/>
          <w:szCs w:val="22"/>
          <w:shd w:fill="FFFFFF" w:val="clear"/>
        </w:rPr>
        <w:t>telos</w:t>
      </w:r>
      <w:r>
        <w:rPr>
          <w:rFonts w:cs="Arial" w:ascii="Cambria" w:hAnsi="Cambria"/>
          <w:b/>
          <w:bCs/>
          <w:color w:val="000000"/>
          <w:sz w:val="22"/>
          <w:szCs w:val="22"/>
          <w:shd w:fill="FFFFFF" w:val="clear"/>
        </w:rPr>
        <w:t xml:space="preserve"> subjacente à normatização, no sentido de evitar que agentes e gestores se utilizem das inaugurações de obras públicas como meio de angariar benefício eleitoral.</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color w:val="000000"/>
          <w:sz w:val="22"/>
          <w:szCs w:val="22"/>
          <w:shd w:fill="FFFFFF" w:val="clear"/>
        </w:rPr>
        <w:t xml:space="preserve">11. As alterações promovidas pela Lei nº 13.165/2015, ao estreitarem o processo eleitoral e postergarem a data-limite para apresentação do registro de candidatura, não alteraram a possibilidade de que gestores compareçam a eventos imbuídos da condição material de concorrentes à reeleição. </w:t>
      </w:r>
      <w:r>
        <w:rPr>
          <w:rFonts w:cs="Arial" w:ascii="Cambria" w:hAnsi="Cambria"/>
          <w:b/>
          <w:bCs/>
          <w:color w:val="000000"/>
          <w:sz w:val="22"/>
          <w:szCs w:val="22"/>
          <w:shd w:fill="FFFFFF" w:val="clear"/>
        </w:rPr>
        <w:t xml:space="preserve">Portanto, o fato de o gestor não ostentar a qualificação formal de candidato não afasta a necessidade de proteção reconhecida pelo art. 77 da Lei nº 9.504/1997. </w:t>
      </w:r>
      <w:r>
        <w:rPr>
          <w:rFonts w:cs="Arial" w:ascii="Cambria" w:hAnsi="Cambria"/>
          <w:color w:val="000000"/>
          <w:sz w:val="22"/>
          <w:szCs w:val="22"/>
          <w:shd w:fill="FFFFFF" w:val="clear"/>
        </w:rPr>
        <w:br/>
        <w:t>12. Impor interpretação estritamente formal ao ilícito em debate enveredaria por violação ao princípio da proporcionalidade sob a ótica da vedação da proteção deficiente. A qualificação formal de candidato seria exigível apenas a partir do dia 16 de agosto, possibilitando que notórios candidatos participem de inaugurações de obras públicas até 45 dias antes das eleições e decotando pela metade o espectro de proteção da norma.</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b/>
          <w:bCs/>
          <w:color w:val="000000"/>
          <w:sz w:val="22"/>
          <w:szCs w:val="22"/>
          <w:shd w:fill="FFFFFF" w:val="clear"/>
        </w:rPr>
        <w:t>13. Demonstrada a participação do prefeito na condição de candidato à reeleição, não se pode fazer prevalecer condição formalista sobre a realidade comprovada nos autos.</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color w:val="000000"/>
          <w:sz w:val="22"/>
          <w:szCs w:val="22"/>
          <w:shd w:fill="FFFFFF" w:val="clear"/>
        </w:rPr>
        <w:t>14. O acórdão recorrido entendeu demonstrado o abuso de poder político pela conjunção de diversos elementos fáticos, qualificados pela conotação eleitoral e pela má-fé do agravante ao participar de evento em período vedado. Não houve presunção de abuso pelo simples fato de haver divulgação das inaugurações e o comparecimento de muitas pessoas.</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color w:val="000000"/>
          <w:sz w:val="22"/>
          <w:szCs w:val="22"/>
          <w:shd w:fill="FFFFFF" w:val="clear"/>
        </w:rPr>
        <w:t>(...)</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2268" w:right="0" w:hanging="0"/>
        <w:jc w:val="both"/>
        <w:textAlignment w:val="baseline"/>
        <w:rPr/>
      </w:pPr>
      <w:r>
        <w:rPr>
          <w:rFonts w:cs="Arial" w:ascii="Cambria" w:hAnsi="Cambria"/>
          <w:b/>
          <w:bCs/>
          <w:color w:val="000000"/>
          <w:sz w:val="22"/>
          <w:szCs w:val="22"/>
          <w:shd w:fill="FFFFFF" w:val="clear"/>
        </w:rPr>
        <w:t xml:space="preserve">16. </w:t>
      </w:r>
      <w:r>
        <w:rPr>
          <w:rFonts w:cs="Arial" w:ascii="Cambria" w:hAnsi="Cambria"/>
          <w:color w:val="000000"/>
          <w:sz w:val="22"/>
          <w:szCs w:val="22"/>
          <w:shd w:fill="FFFFFF" w:val="clear"/>
        </w:rPr>
        <w:t>Agravo interno desprovido.</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right="0" w:hanging="0"/>
        <w:jc w:val="both"/>
        <w:textAlignment w:val="baseline"/>
        <w:rPr>
          <w:rFonts w:ascii="Cambria" w:hAnsi="Cambria" w:cs="Arial"/>
          <w:b/>
          <w:b/>
          <w:color w:val="000000"/>
          <w:sz w:val="22"/>
          <w:szCs w:val="22"/>
          <w:shd w:fill="FFFFFF" w:val="clear"/>
        </w:rPr>
      </w:pPr>
      <w:r>
        <w:rPr/>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pPr>
      <w:r>
        <w:rPr>
          <w:rFonts w:cs="Arial" w:ascii="Cambria" w:hAnsi="Cambria"/>
          <w:b/>
        </w:rPr>
        <w:t>RECOMENDA (art. 6°, XX, da LC nº 75/93)</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rFonts w:ascii="Cambria" w:hAnsi="Cambria" w:cs="Arial"/>
          <w:b/>
          <w:b/>
        </w:rPr>
      </w:pPr>
      <w:r>
        <w:rPr/>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pPr>
      <w:r>
        <w:rPr>
          <w:rFonts w:cs="Arial" w:ascii="Cambria" w:hAnsi="Cambria"/>
        </w:rPr>
        <w:t xml:space="preserve">A todos os agentes públicos (Prefeitos, Secretários Municipais, Vereadores e demais agentes públicos), </w:t>
      </w:r>
      <w:r>
        <w:rPr>
          <w:rFonts w:cs="Arial" w:ascii="Cambria" w:hAnsi="Cambria"/>
          <w:b/>
          <w:bCs/>
        </w:rPr>
        <w:t>uma vez pretensos candidatos</w:t>
      </w:r>
      <w:r>
        <w:rPr>
          <w:rFonts w:cs="Arial" w:ascii="Cambria" w:hAnsi="Cambria"/>
        </w:rPr>
        <w:t xml:space="preserve">, que se abstenham de </w:t>
      </w:r>
      <w:r>
        <w:rPr>
          <w:rFonts w:cs="Arial" w:ascii="Cambria" w:hAnsi="Cambria"/>
          <w:color w:val="000000"/>
        </w:rPr>
        <w:t>comparecer, nos 3 (três) meses que precedem o pleito, a inaugurações de obras públicas</w:t>
      </w:r>
      <w:r>
        <w:rPr>
          <w:rFonts w:cs="Arial" w:ascii="Cambria" w:hAnsi="Cambria"/>
        </w:rPr>
        <w:t xml:space="preserve">, fato cuja ocorrência fere o </w:t>
      </w:r>
      <w:r>
        <w:rPr>
          <w:rFonts w:cs="Arial" w:ascii="Cambria" w:hAnsi="Cambria"/>
          <w:b/>
          <w:u w:val="single"/>
        </w:rPr>
        <w:t>PRINCÍPIO DA IMPESSOALIDADE</w:t>
      </w:r>
      <w:r>
        <w:rPr>
          <w:rFonts w:cs="Arial" w:ascii="Cambria" w:hAnsi="Cambria"/>
        </w:rPr>
        <w:t xml:space="preserve"> disposto no art. 37, caput, e seu parágrafo 1.º da Constituição Federal, assim como afronta ao disposto no art. 77, da Lei Federal nº 9.504/97.</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rFonts w:ascii="Cambria" w:hAnsi="Cambria" w:cs="Arial"/>
          <w:b/>
          <w:b/>
        </w:rPr>
      </w:pPr>
      <w:r>
        <w:rPr/>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pPr>
      <w:r>
        <w:rPr>
          <w:rFonts w:cs="Arial" w:ascii="Cambria" w:hAnsi="Cambria"/>
          <w:b/>
        </w:rPr>
        <w:t>RESSALTA</w:t>
      </w:r>
      <w:r>
        <w:rPr>
          <w:rFonts w:cs="Arial" w:ascii="Cambria" w:hAnsi="Cambria"/>
        </w:rPr>
        <w:t xml:space="preserve"> que a inobservância de tais proibições poderão dar ensejo a Representação por parte do Ministério Público Eleitoral desta zona contra os responsáveis pelo seu descumprimento, com pedido de condenação pela prática de </w:t>
      </w:r>
      <w:r>
        <w:rPr>
          <w:rFonts w:cs="Arial" w:ascii="Cambria" w:hAnsi="Cambria"/>
          <w:b/>
          <w:bCs/>
          <w:u w:val="single"/>
        </w:rPr>
        <w:t>conduta vedada</w:t>
      </w:r>
      <w:r>
        <w:rPr>
          <w:rFonts w:cs="Arial" w:ascii="Cambria" w:hAnsi="Cambria"/>
          <w:b/>
          <w:u w:val="single"/>
        </w:rPr>
        <w:t>,</w:t>
      </w:r>
      <w:r>
        <w:rPr>
          <w:rFonts w:cs="Arial" w:ascii="Cambria" w:hAnsi="Cambria"/>
        </w:rPr>
        <w:t xml:space="preserve"> e, consequentemente, cassação do registro ou do diploma, como reza o Parágrafo único, do art. 77, da mesma Lei Eleitoral.</w:t>
      </w:r>
    </w:p>
    <w:p>
      <w:pPr>
        <w:pStyle w:val="Standard"/>
        <w:widowControl/>
        <w:tabs>
          <w:tab w:val="clear" w:pos="708"/>
          <w:tab w:val="left" w:pos="934" w:leader="none"/>
          <w:tab w:val="left" w:pos="1474" w:leader="none"/>
        </w:tabs>
        <w:suppressAutoHyphens w:val="true"/>
        <w:overflowPunct w:val="true"/>
        <w:bidi w:val="0"/>
        <w:spacing w:lineRule="auto" w:line="360" w:before="120" w:after="120"/>
        <w:ind w:left="0" w:right="0" w:firstLine="1701"/>
        <w:jc w:val="both"/>
        <w:textAlignment w:val="baseline"/>
        <w:rPr/>
      </w:pPr>
      <w:r>
        <w:rPr>
          <w:rFonts w:cs="Arial" w:ascii="Cambria" w:hAnsi="Cambria"/>
        </w:rPr>
        <w:t>Referida conduta poderá ainda configurar tipo legal de ato de improbidade administrativa, sujeitando o agente público às sanções dispostas na Lei Federal nº 8.429/92, bem como causa de inelegibilidade a rigor do dispõe a alínea j, I, do art. 1.º, da Lei Complementar 64/90, incluída pela lei 135/2010 (Lei da Ficha Limpa).</w:t>
      </w:r>
    </w:p>
    <w:p>
      <w:pPr>
        <w:pStyle w:val="Standard"/>
        <w:spacing w:lineRule="auto" w:line="360" w:before="120" w:after="120"/>
        <w:ind w:firstLine="708"/>
        <w:jc w:val="right"/>
        <w:rPr>
          <w:rFonts w:ascii="Cambria" w:hAnsi="Cambria"/>
        </w:rPr>
      </w:pPr>
      <w:r>
        <w:rPr/>
      </w:r>
    </w:p>
    <w:p>
      <w:pPr>
        <w:pStyle w:val="Standard"/>
        <w:spacing w:lineRule="auto" w:line="360" w:before="120" w:after="120"/>
        <w:ind w:firstLine="708"/>
        <w:jc w:val="right"/>
        <w:rPr>
          <w:rFonts w:ascii="Cambria" w:hAnsi="Cambria"/>
        </w:rPr>
      </w:pPr>
      <w:r>
        <w:rPr>
          <w:rFonts w:cs="Arial" w:ascii="Cambria" w:hAnsi="Cambria"/>
        </w:rPr>
        <w:t>Local  e data.</w:t>
      </w:r>
    </w:p>
    <w:p>
      <w:pPr>
        <w:pStyle w:val="Standard"/>
        <w:spacing w:lineRule="auto" w:line="360" w:before="120" w:after="120"/>
        <w:jc w:val="both"/>
        <w:rPr>
          <w:rFonts w:ascii="Cambria" w:hAnsi="Cambria" w:cs="Arial"/>
        </w:rPr>
      </w:pPr>
      <w:r>
        <w:rPr>
          <w:rFonts w:cs="Arial" w:ascii="Cambria" w:hAnsi="Cambria"/>
        </w:rPr>
      </w:r>
    </w:p>
    <w:p>
      <w:pPr>
        <w:pStyle w:val="Standard"/>
        <w:spacing w:lineRule="auto" w:line="360" w:before="120" w:after="120"/>
        <w:ind w:hanging="0"/>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00000A"/>
      <w:kern w:val="0"/>
      <w:sz w:val="24"/>
      <w:szCs w:val="24"/>
      <w:lang w:bidi="ar-SA" w:val="pt-BR"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4</Pages>
  <Words>892</Words>
  <Characters>5039</Characters>
  <CharactersWithSpaces>5911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2023-06-10T14:23:10Z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