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1"/>
        <w:spacing w:lineRule="auto" w:line="360" w:before="120" w:after="120"/>
        <w:rPr>
          <w:rFonts w:ascii="Cambria" w:hAnsi="Cambria" w:eastAsia="Cambria" w:cs="Cambria"/>
          <w:color w:val="0000FF"/>
          <w:sz w:val="24"/>
          <w:szCs w:val="24"/>
        </w:rPr>
      </w:pPr>
      <w:r>
        <w:rPr>
          <w:rFonts w:eastAsia="Cambria" w:cs="Cambria" w:ascii="Cambria" w:hAnsi="Cambria"/>
          <w:color w:val="0000FF"/>
          <w:sz w:val="24"/>
          <w:szCs w:val="24"/>
        </w:rPr>
        <w:t>MPTO - Célem</w:t>
      </w:r>
    </w:p>
    <w:p>
      <w:pPr>
        <w:pStyle w:val="Normal1"/>
        <w:widowControl w:val="false"/>
        <w:spacing w:lineRule="auto" w:line="240" w:before="0" w:after="0"/>
        <w:jc w:val="both"/>
        <w:rPr>
          <w:rFonts w:ascii="Cambria" w:hAnsi="Cambria" w:eastAsia="Cambria" w:cs="Cambria"/>
          <w:b/>
          <w:b/>
          <w:color w:val="0000FF"/>
          <w:sz w:val="24"/>
          <w:szCs w:val="24"/>
        </w:rPr>
      </w:pPr>
      <w:r>
        <w:rPr>
          <w:rFonts w:eastAsia="Cambria" w:cs="Cambria" w:ascii="Cambria" w:hAnsi="Cambria"/>
          <w:b/>
          <w:color w:val="0000FF"/>
          <w:sz w:val="24"/>
          <w:szCs w:val="24"/>
        </w:rPr>
      </w:r>
    </w:p>
    <w:p>
      <w:pPr>
        <w:pStyle w:val="Normal1"/>
        <w:widowControl w:val="false"/>
        <w:spacing w:lineRule="auto" w:line="360" w:before="200" w:after="0"/>
        <w:jc w:val="center"/>
        <w:rPr>
          <w:rFonts w:ascii="Cambria" w:hAnsi="Cambria" w:eastAsia="Cambria" w:cs="Cambria"/>
          <w:b/>
          <w:b/>
          <w:sz w:val="24"/>
          <w:szCs w:val="24"/>
          <w:u w:val="single"/>
        </w:rPr>
      </w:pPr>
      <w:r>
        <w:rPr>
          <w:rFonts w:eastAsia="Cambria" w:cs="Cambria" w:ascii="Cambria" w:hAnsi="Cambria"/>
          <w:b/>
          <w:sz w:val="24"/>
          <w:szCs w:val="24"/>
          <w:u w:val="single"/>
        </w:rPr>
        <w:t>PROCEDIMENTO ADMINISTRATIVO - PA</w:t>
      </w:r>
    </w:p>
    <w:p>
      <w:pPr>
        <w:pStyle w:val="Normal1"/>
        <w:widowControl w:val="false"/>
        <w:tabs>
          <w:tab w:val="clear" w:pos="708"/>
          <w:tab w:val="center" w:pos="4419" w:leader="none"/>
          <w:tab w:val="right" w:pos="8838" w:leader="none"/>
        </w:tabs>
        <w:spacing w:lineRule="auto" w:line="360" w:before="200" w:after="0"/>
        <w:ind w:left="0" w:hanging="0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O </w:t>
      </w:r>
      <w:r>
        <w:rPr>
          <w:rFonts w:eastAsia="Cambria" w:cs="Cambria" w:ascii="Cambria" w:hAnsi="Cambria"/>
          <w:b/>
          <w:sz w:val="24"/>
          <w:szCs w:val="24"/>
        </w:rPr>
        <w:t>Ministério Público Eleitoral</w:t>
      </w:r>
      <w:r>
        <w:rPr>
          <w:rFonts w:eastAsia="Cambria" w:cs="Cambria" w:ascii="Cambria" w:hAnsi="Cambria"/>
          <w:sz w:val="24"/>
          <w:szCs w:val="24"/>
        </w:rPr>
        <w:t>, por intermédio do Promotor Eleitoral abaixo assinado, no uso das atribuições legais, e com fundamento nas disposições contidas na Portaria PGR-PGE n. 01, de 09 de setembro de 2019, que regulamenta o Procedimento Administrativo - PA, e;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CONSIDERANDO</w:t>
      </w:r>
      <w:r>
        <w:rPr>
          <w:rFonts w:eastAsia="Cambria" w:cs="Cambria" w:ascii="Cambria" w:hAnsi="Cambria"/>
          <w:sz w:val="24"/>
          <w:szCs w:val="24"/>
        </w:rPr>
        <w:t xml:space="preserve"> que o Ministério Público é instituição permanente, essencial à função jurisdicional do Estado, incumbindo-lhe a defesa da </w:t>
      </w:r>
      <w:r>
        <w:rPr>
          <w:rFonts w:eastAsia="Cambria" w:cs="Cambria" w:ascii="Cambria" w:hAnsi="Cambria"/>
          <w:b/>
          <w:sz w:val="24"/>
          <w:szCs w:val="24"/>
        </w:rPr>
        <w:t>ordem jurídica</w:t>
      </w:r>
      <w:r>
        <w:rPr>
          <w:rFonts w:eastAsia="Cambria" w:cs="Cambria" w:ascii="Cambria" w:hAnsi="Cambria"/>
          <w:sz w:val="24"/>
          <w:szCs w:val="24"/>
        </w:rPr>
        <w:t xml:space="preserve"> e do </w:t>
      </w:r>
      <w:r>
        <w:rPr>
          <w:rFonts w:eastAsia="Cambria" w:cs="Cambria" w:ascii="Cambria" w:hAnsi="Cambria"/>
          <w:b/>
          <w:sz w:val="24"/>
          <w:szCs w:val="24"/>
        </w:rPr>
        <w:t>regime democrático</w:t>
      </w:r>
      <w:r>
        <w:rPr>
          <w:rFonts w:eastAsia="Cambria" w:cs="Cambria" w:ascii="Cambria" w:hAnsi="Cambria"/>
          <w:sz w:val="24"/>
          <w:szCs w:val="24"/>
        </w:rPr>
        <w:t xml:space="preserve"> (art. 127, </w:t>
      </w:r>
      <w:r>
        <w:rPr>
          <w:rFonts w:eastAsia="Cambria" w:cs="Cambria" w:ascii="Cambria" w:hAnsi="Cambria"/>
          <w:i/>
          <w:sz w:val="24"/>
          <w:szCs w:val="24"/>
        </w:rPr>
        <w:t>caput</w:t>
      </w:r>
      <w:r>
        <w:rPr>
          <w:rFonts w:eastAsia="Cambria" w:cs="Cambria" w:ascii="Cambria" w:hAnsi="Cambria"/>
          <w:sz w:val="24"/>
          <w:szCs w:val="24"/>
        </w:rPr>
        <w:t>, da CF);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CONSIDERANDO </w:t>
      </w:r>
      <w:r>
        <w:rPr>
          <w:rFonts w:eastAsia="Cambria" w:cs="Cambria" w:ascii="Cambria" w:hAnsi="Cambria"/>
          <w:sz w:val="24"/>
          <w:szCs w:val="24"/>
        </w:rPr>
        <w:t xml:space="preserve">as atribuições do </w:t>
      </w:r>
      <w:r>
        <w:rPr>
          <w:rFonts w:eastAsia="Cambria" w:cs="Cambria" w:ascii="Cambria" w:hAnsi="Cambria"/>
          <w:b/>
          <w:sz w:val="24"/>
          <w:szCs w:val="24"/>
        </w:rPr>
        <w:t>Ministério Público Eleitoral</w:t>
      </w:r>
      <w:r>
        <w:rPr>
          <w:rFonts w:eastAsia="Cambria" w:cs="Cambria" w:ascii="Cambria" w:hAnsi="Cambria"/>
          <w:sz w:val="24"/>
          <w:szCs w:val="24"/>
        </w:rPr>
        <w:t xml:space="preserve"> para atuar em todas as fases e instâncias do processo eleitoral, conforme determinam os arts. 72 e seguintes, da LC n. 75/93;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CONSIDERANDO</w:t>
      </w:r>
      <w:r>
        <w:rPr>
          <w:rFonts w:eastAsia="Cambria" w:cs="Cambria" w:ascii="Cambria" w:hAnsi="Cambria"/>
          <w:sz w:val="24"/>
          <w:szCs w:val="24"/>
        </w:rPr>
        <w:t xml:space="preserve"> que o Procedimento Administrativo, previsto e disciplinado na Portaria PGR-PGE n. 01/2019, é o instrumento adequado para </w:t>
      </w:r>
      <w:r>
        <w:rPr>
          <w:rFonts w:eastAsia="Cambria" w:cs="Cambria" w:ascii="Cambria" w:hAnsi="Cambria"/>
          <w:b/>
          <w:sz w:val="24"/>
          <w:szCs w:val="24"/>
        </w:rPr>
        <w:t>viabilizar a consecução de atividade-fim</w:t>
      </w:r>
      <w:r>
        <w:rPr>
          <w:rFonts w:eastAsia="Cambria" w:cs="Cambria" w:ascii="Cambria" w:hAnsi="Cambria"/>
          <w:sz w:val="24"/>
          <w:szCs w:val="24"/>
        </w:rPr>
        <w:t>, conforme art. 78;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CONSIDERANDO</w:t>
      </w:r>
      <w:r>
        <w:rPr>
          <w:rFonts w:eastAsia="Cambria" w:cs="Cambria" w:ascii="Cambria" w:hAnsi="Cambria"/>
          <w:sz w:val="24"/>
          <w:szCs w:val="24"/>
        </w:rPr>
        <w:t xml:space="preserve"> que a forma de procedimentalização do Acordo de Não Persecução Penal não se encontra disciplinada de forma exaustiva;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CONSIDERANDO </w:t>
      </w:r>
      <w:r>
        <w:rPr>
          <w:rFonts w:eastAsia="Cambria" w:cs="Cambria" w:ascii="Cambria" w:hAnsi="Cambria"/>
          <w:sz w:val="24"/>
          <w:szCs w:val="24"/>
        </w:rPr>
        <w:t xml:space="preserve">a </w:t>
      </w:r>
      <w:r>
        <w:rPr>
          <w:rFonts w:eastAsia="Cambria" w:cs="Cambria" w:ascii="Cambria" w:hAnsi="Cambria"/>
          <w:b/>
          <w:sz w:val="24"/>
          <w:szCs w:val="24"/>
        </w:rPr>
        <w:t>ocorrência, em tese, do crime previsto no artigo ___ em tese praticado por __________, indiciado conforme autos nº. ___________________________;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CONSIDERANDO </w:t>
      </w:r>
      <w:r>
        <w:rPr>
          <w:rFonts w:eastAsia="Cambria" w:cs="Cambria" w:ascii="Cambria" w:hAnsi="Cambria"/>
          <w:sz w:val="24"/>
          <w:szCs w:val="24"/>
        </w:rPr>
        <w:t>o quanto disposto no art. 28-A do Código de Processo Penal, aplicável subsidiariamente ao Direito Processual Penal Eleitoral, segundo o qual “Não sendo caso de arquivamento e tendo o investigado confessado formal e circunstancialmente a prática de infração penal sem violência ou grave ameaça e com pena mínima inferior a 4 (quatro) anos, o Ministério Público poderá propor acordo de não persecução penal, desde que necessário e suficiente para reprovação e prevenção do crime”, mediante as seguintes condições ajustadas cumulativa ou alternativamente: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a) reparar o dano ou restituir a coisa à vítima, exceto na impossibilidade de fazê-lo;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b) renunciar voluntariamente a bens e direitos indicados pelo Ministério Público como instrumentos, produto ou proveito do crime;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c) prestar serviço à comunidade ou a entidades públicas por período correspondente à pena mínima cominada ao delito diminuída de um a dois terços, em local a ser indicado pelo juízo da execução, na forma do art. 46 do Código Penal;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d) pagar prestação pecuniária, a ser estipulada nos termos do art. 45 do Código Penal, a entidade pública ou de interesse social, a ser indicada pelo juízo da execução, que tenha, preferencialmente, como função proteger bens jurídicos iguais ou semelhantes aos aparentemente lesados pelo delito; ou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e) cumprir, por prazo determinado, outra condição indicada pelo Ministério Público, desde que proporcional e compatível com a infração penal imputada;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CONSIDERANDO </w:t>
      </w:r>
      <w:r>
        <w:rPr>
          <w:rFonts w:eastAsia="Cambria" w:cs="Cambria" w:ascii="Cambria" w:hAnsi="Cambria"/>
          <w:sz w:val="24"/>
          <w:szCs w:val="24"/>
        </w:rPr>
        <w:t>não ser cabível transação penal de competência dos Juizados Especiais Criminais Eleitorais;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CONSIDERANDO </w:t>
      </w:r>
      <w:r>
        <w:rPr>
          <w:rFonts w:eastAsia="Cambria" w:cs="Cambria" w:ascii="Cambria" w:hAnsi="Cambria"/>
          <w:sz w:val="24"/>
          <w:szCs w:val="24"/>
        </w:rPr>
        <w:t>não ser o investigado reincidente, tampouco haver elementos probatórios que indiquem conduta criminal habitual, reiterada ou profissional, exceto se insignificantes as infrações penais pretéritas;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 xml:space="preserve">CONSIDERANDO </w:t>
      </w:r>
      <w:r>
        <w:rPr>
          <w:rFonts w:eastAsia="Cambria" w:cs="Cambria" w:ascii="Cambria" w:hAnsi="Cambria"/>
          <w:sz w:val="24"/>
          <w:szCs w:val="24"/>
        </w:rPr>
        <w:t>não</w:t>
      </w:r>
      <w:r>
        <w:rPr>
          <w:rFonts w:eastAsia="Cambria" w:cs="Cambria" w:ascii="Cambria" w:hAnsi="Cambria"/>
          <w:b/>
          <w:sz w:val="24"/>
          <w:szCs w:val="24"/>
        </w:rPr>
        <w:t xml:space="preserve"> </w:t>
      </w:r>
      <w:r>
        <w:rPr>
          <w:rFonts w:eastAsia="Cambria" w:cs="Cambria" w:ascii="Cambria" w:hAnsi="Cambria"/>
          <w:sz w:val="24"/>
          <w:szCs w:val="24"/>
        </w:rPr>
        <w:t>ter sido o agente beneficiado nos 5 (cinco) anos anteriores ao cometimento da infração, em acordo de não persecução penal, transação penal ou suspensão condicional do processo;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b/>
          <w:sz w:val="24"/>
          <w:szCs w:val="24"/>
        </w:rPr>
        <w:t>RESOLVE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 xml:space="preserve">Instaurar </w:t>
      </w:r>
      <w:r>
        <w:rPr>
          <w:rFonts w:eastAsia="Cambria" w:cs="Cambria" w:ascii="Cambria" w:hAnsi="Cambria"/>
          <w:b/>
          <w:sz w:val="24"/>
          <w:szCs w:val="24"/>
        </w:rPr>
        <w:t>PROCEDIMENTO ADMINISTRATIVO ELEITORAL</w:t>
      </w:r>
      <w:r>
        <w:rPr>
          <w:rFonts w:eastAsia="Cambria" w:cs="Cambria" w:ascii="Cambria" w:hAnsi="Cambria"/>
          <w:sz w:val="24"/>
          <w:szCs w:val="24"/>
        </w:rPr>
        <w:t xml:space="preserve"> com o objetivo de </w:t>
      </w:r>
      <w:r>
        <w:rPr>
          <w:rFonts w:eastAsia="Cambria" w:cs="Cambria" w:ascii="Cambria" w:hAnsi="Cambria"/>
          <w:b/>
          <w:sz w:val="24"/>
          <w:szCs w:val="24"/>
        </w:rPr>
        <w:t>oferecer acordo de não persecução penal a _______, indiciado conforme autos nº. ___________________</w:t>
      </w:r>
      <w:r>
        <w:rPr>
          <w:rFonts w:eastAsia="Cambria" w:cs="Cambria" w:ascii="Cambria" w:hAnsi="Cambria"/>
          <w:sz w:val="24"/>
          <w:szCs w:val="24"/>
        </w:rPr>
        <w:t>.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O presente procedimento será secretariado pelos servidores lotados na Promotoria da ___ Zona Eleitoral/TO.</w:t>
      </w:r>
    </w:p>
    <w:p>
      <w:pPr>
        <w:pStyle w:val="Normal1"/>
        <w:spacing w:lineRule="auto" w:line="360" w:before="20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Para tanto, determina: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1. Registre-se o presente procedimento no sistema próprio (E-EXT/MPTO);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2. Comunique-se, via meio eletrônico, o Grupo de Trabalho para Apoio ao Exercício da Função Eleitoral da instauração do presente procedimento, encaminhando cópia desta peça inaugural;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3. Junte-se cópia do inquérito policial;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4. Divulgue-se no Diário Oficial Eletrônico do Ministério Público do Estado do Tocantins;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  <w:t>5. Após, conclusos.</w:t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sz w:val="24"/>
          <w:szCs w:val="24"/>
        </w:rPr>
      </w:r>
    </w:p>
    <w:p>
      <w:pPr>
        <w:pStyle w:val="Normal1"/>
        <w:spacing w:lineRule="auto" w:line="360" w:before="0" w:after="0"/>
        <w:ind w:firstLine="1701"/>
        <w:jc w:val="both"/>
        <w:rPr>
          <w:rFonts w:ascii="Cambria" w:hAnsi="Cambria" w:eastAsia="Cambria" w:cs="Cambria"/>
          <w:sz w:val="24"/>
          <w:szCs w:val="24"/>
        </w:rPr>
      </w:pPr>
      <w:r>
        <w:rPr>
          <w:rFonts w:eastAsia="Cambria" w:cs="Cambria" w:ascii="Cambria" w:hAnsi="Cambria"/>
          <w:color w:val="000000"/>
          <w:sz w:val="24"/>
          <w:szCs w:val="24"/>
        </w:rPr>
        <w:t>Cumpra-se.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sectPr>
      <w:headerReference w:type="default" r:id="rId2"/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rmal1">
    <w:name w:val="LO-normal"/>
    <w:qFormat/>
    <w:pPr>
      <w:widowControl/>
      <w:bidi w:val="0"/>
      <w:spacing w:lineRule="auto" w:line="276" w:before="0" w:after="200"/>
      <w:jc w:val="left"/>
    </w:pPr>
    <w:rPr>
      <w:rFonts w:ascii="Times New Roman" w:hAnsi="Times New Roman" w:eastAsia="NSimSun" w:cs="Arial"/>
      <w:color w:val="auto"/>
      <w:kern w:val="0"/>
      <w:sz w:val="20"/>
      <w:szCs w:val="24"/>
      <w:lang w:val="pt-BR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3</Pages>
  <Words>568</Words>
  <Characters>3379</Characters>
  <CharactersWithSpaces>3917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2023-06-11T04:53:36Z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