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b/>
          <w:b/>
          <w:sz w:val="24"/>
          <w:szCs w:val="24"/>
        </w:rPr>
      </w:pPr>
      <w:r>
        <w:rPr>
          <w:rFonts w:ascii="Cambria" w:hAnsi="Cambria"/>
        </w:rPr>
      </w:r>
    </w:p>
    <w:p>
      <w:pPr>
        <w:pStyle w:val="Normal1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b/>
          <w:b/>
          <w:sz w:val="24"/>
          <w:szCs w:val="24"/>
        </w:rPr>
      </w:pPr>
      <w:r>
        <w:rPr>
          <w:rFonts w:ascii="Cambria" w:hAnsi="Cambria"/>
        </w:rPr>
      </w:r>
    </w:p>
    <w:p>
      <w:pPr>
        <w:pStyle w:val="Normal1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AUTOS: ____/____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PARTIDO: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color w:val="0000FF"/>
          <w:sz w:val="24"/>
          <w:szCs w:val="24"/>
        </w:rPr>
        <w:t>MPTO Célem Guimarães</w:t>
      </w:r>
    </w:p>
    <w:p>
      <w:pPr>
        <w:pStyle w:val="Normal1"/>
        <w:widowControl w:val="false"/>
        <w:spacing w:lineRule="auto" w:line="276" w:before="120" w:after="120"/>
        <w:ind w:left="2268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276" w:before="120" w:after="120"/>
        <w:ind w:left="2268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276" w:before="120" w:after="120"/>
        <w:ind w:left="2268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Tratam os presentes autos de Prestação de Contas Anual do Partido _________ no Município de _________, submetida à apreciação do Ministério Público Eleitoral.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A equipe técnica da Justiça Eleitoral, às fls. ____, pugnou pela aprovação das contas, posto que apresentada dentro do prazo e de acordo com todas as exigências legais pertinentes.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Prevê a legislação que o partido está obrigado a enviar, anualmente, à Justiça Eleitoral, o balanço contábil do exercício findo até o dia 30 de junho do ano seguinte (art. 32, </w:t>
      </w:r>
      <w:r>
        <w:rPr>
          <w:rFonts w:ascii="Cambria" w:hAnsi="Cambria"/>
          <w:i/>
          <w:sz w:val="24"/>
          <w:szCs w:val="24"/>
        </w:rPr>
        <w:t>caput</w:t>
      </w:r>
      <w:r>
        <w:rPr>
          <w:rFonts w:ascii="Cambria" w:hAnsi="Cambria"/>
          <w:sz w:val="24"/>
          <w:szCs w:val="24"/>
        </w:rPr>
        <w:t xml:space="preserve"> da Lei n. 9.096/95). O prazo foi observado.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De acordo com os arts. 34 e 35 da Lei dos Partidos Políticos, as contas devem conter, entre outros, os seguintes itens: discriminação dos valores e destinação dos recursos oriundos do fundo partidário; origem e valor das contribuições e doações; despesas de caráter eleitoral, com a especificação e comprovação dos gastos com programas no rádio e televisão, comitês, propaganda, publicações, comícios, e demais atividades de campanha; discriminação detalhada das receitas e despesas.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Isso porque a Justiça Eleitoral exerce a fiscalização sobre a prestação de contas do partido e das despesas de campanha eleitoral, devendo atestar se elas refletem adequadamente a real movimentação financeira, os dispêndios e os recursos aplicados nas campanhas eleitorais, exigindo a observação das seguintes normas:         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a) obrigatoriedade de designação de dirigentes partidários específicos para movimentar recursos financeiros nas campanhas eleitorais;                              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b) relatório financeiro, com documentação que comprove a entrada e saída de dinheiro ou de bens recebidos e aplicados;                   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c) obrigatoriedade de ser conservada pelo partido, por prazo não inferior a cinco anos, a documentação comprobatória de suas prestações de contas;     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d) obrigatoriedade de prestação de contas pelo partido político e por seus candidatos no encerramento da campanha eleitoral, com o recolhimento imediato à tesouraria do partido dos saldos financeiros eventualmente apurados.              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Não se verifica, nos autos, impugnação inicial nem se constata qualquer falha a comprometer a regularidade do balanço anual apresentado.</w:t>
      </w:r>
    </w:p>
    <w:p>
      <w:pPr>
        <w:pStyle w:val="Normal1"/>
        <w:spacing w:lineRule="auto" w:line="276" w:before="200" w:after="120"/>
        <w:ind w:firstLine="170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Ante o exposto, o Ministério Público Eleitoral pugna pela APROVAÇÃO da presente prestação de contas, de acordo com o disposto no art. 45, I, da Resolução 23.604/2019.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2</Pages>
  <Words>366</Words>
  <Characters>2107</Characters>
  <CharactersWithSpaces>2532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2023-06-11T09:53:54Z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