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O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MINISTÉRIO PÚBLICO ELEITORAL</w:t>
      </w:r>
      <w:r>
        <w:rPr>
          <w:rFonts w:cs="Cambria" w:ascii="Cambria" w:hAnsi="Cambria"/>
          <w:color w:val="000000"/>
          <w:sz w:val="24"/>
          <w:szCs w:val="24"/>
        </w:rPr>
        <w:t xml:space="preserve">, pelo Promotor ao final assinado, no regular exercício da delegação legal que lhe é conferida pelo art. 78 da LC n.º 75/93, vem à presença de V.Exa., nos termos do art. 3º da LC n.º 64/90, propor a presente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Ação de Impugnação do Registro de Candidatura</w:t>
      </w:r>
      <w:r>
        <w:rPr>
          <w:rFonts w:cs="Cambria" w:ascii="Cambria" w:hAnsi="Cambria"/>
          <w:color w:val="000000"/>
          <w:sz w:val="24"/>
          <w:szCs w:val="24"/>
        </w:rPr>
        <w:t xml:space="preserve"> de XXXX, devidamente qualificado nos autos do Pedido de Registro nº XXXX, em face das seguintes razões de fato e de direito: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A Coligação XXXX (ou o Partido XXXX) protocolou pedido de registro de seus candidatos e junto com eles apresentou a documentação exigida em lei, autuada em anexos. 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Como se sabe, com o pedido de registro, devem ser levados à Justiça Eleitoral os documentos enumerados no art. 11 da Lei n.º 9.504/97, dentre os quais se destaca a 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certidão de quitação eleitoral</w:t>
      </w:r>
      <w:r>
        <w:rPr>
          <w:rFonts w:cs="Cambria" w:ascii="Cambria" w:hAnsi="Cambria"/>
          <w:color w:val="000000"/>
          <w:sz w:val="24"/>
          <w:szCs w:val="24"/>
        </w:rPr>
        <w:t>. Esse documento objetiva assegurar a ausência de anotação, no cadastro eleitoral do candidato, de hipóteses de descumprimento de obrigações tipicamente eleitorais a todos impostas, como a plenitude do gozo dos direitos políticos, o exercício do voto, o atendimento às convocações da Justiça Eleitoral para trabalhos eleitorais (mesários, escrutinadores, etc.), a apresentação de prestação de contas de campanha eleitoral e a adimplência de multas.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Consta, entretanto, da certidão anexa, expedida pelo Cartório Eleitoral, que o ora Impugnado – tendo sido candidato nas eleições de 2020 – não apresentou suas </w:t>
      </w:r>
      <w:r>
        <w:rPr>
          <w:rFonts w:cs="Cambria" w:ascii="Cambria" w:hAnsi="Cambria"/>
          <w:b/>
          <w:sz w:val="24"/>
          <w:szCs w:val="24"/>
        </w:rPr>
        <w:t>contas de campanha</w:t>
      </w:r>
      <w:r>
        <w:rPr>
          <w:rFonts w:cs="Cambria" w:ascii="Cambria" w:hAnsi="Cambria"/>
          <w:sz w:val="24"/>
          <w:szCs w:val="24"/>
        </w:rPr>
        <w:t xml:space="preserve"> à Justiça Eleitoral, nem mesmo após regular notificação para que o fizesse no prazo de 72 horas, sendo julgadas como </w:t>
      </w:r>
      <w:r>
        <w:rPr>
          <w:rFonts w:cs="Cambria" w:ascii="Cambria" w:hAnsi="Cambria"/>
          <w:b/>
          <w:sz w:val="24"/>
          <w:szCs w:val="24"/>
        </w:rPr>
        <w:t>não prestadas</w:t>
      </w:r>
      <w:r>
        <w:rPr>
          <w:rFonts w:cs="Cambria" w:ascii="Cambria" w:hAnsi="Cambria"/>
          <w:sz w:val="24"/>
          <w:szCs w:val="24"/>
        </w:rPr>
        <w:t>,</w:t>
      </w:r>
      <w:r>
        <w:rPr>
          <w:rFonts w:cs="Cambria" w:ascii="Cambria" w:hAnsi="Cambria"/>
          <w:b/>
          <w:sz w:val="24"/>
          <w:szCs w:val="24"/>
        </w:rPr>
        <w:t xml:space="preserve"> em decisão definitiva da Justiça Eleitoral</w:t>
      </w:r>
      <w:r>
        <w:rPr>
          <w:rFonts w:cs="Cambria" w:ascii="Cambria" w:hAnsi="Cambria"/>
          <w:sz w:val="24"/>
          <w:szCs w:val="24"/>
        </w:rPr>
        <w:t xml:space="preserve">. 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>Impende ressaltar, nesse ponto, que a não prestação das contas de campanha, além de constituir óbice à diplomação do candidato eleito (Lei n.º 9.504/97, art. 29, § 2º), implica em descumprimento de obrigação político-eleitoral a todos imposta (hipótese de suspensão de direitos políticos na forma do art. 15, da CF), impedindo a obtenção da quitação eleitoral pelo menos nos 04 (quatro) anos equivalentes ao mandato disputado, e para além desse prazo, até que as contas sejam prestadas, tudo por força do disposto no art. 73</w:t>
      </w:r>
      <w:r>
        <w:rPr>
          <w:rStyle w:val="Ncoradanotaderodap"/>
          <w:rStyle w:val="Ncoradanotaderodap"/>
          <w:rFonts w:cs="Cambria" w:ascii="Cambria" w:hAnsi="Cambria"/>
          <w:sz w:val="24"/>
          <w:szCs w:val="24"/>
          <w:vertAlign w:val="superscript"/>
        </w:rPr>
        <w:footnoteReference w:id="2"/>
      </w:r>
      <w:r>
        <w:rPr>
          <w:rFonts w:cs="Cambria" w:ascii="Cambria" w:hAnsi="Cambria"/>
          <w:sz w:val="24"/>
          <w:szCs w:val="24"/>
          <w:vertAlign w:val="superscript"/>
        </w:rPr>
        <w:t>[1]</w:t>
      </w:r>
      <w:r>
        <w:rPr>
          <w:rFonts w:cs="Cambria" w:ascii="Cambria" w:hAnsi="Cambria"/>
          <w:sz w:val="24"/>
          <w:szCs w:val="24"/>
        </w:rPr>
        <w:t>, I, da Resolução TSE n.º 23.463/2016, que veio a consolidar e ratificar o que preconizavam as Resoluções n.º 21.823/2004, 21.848/2004 e 22.715/2008, todas do TSE.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Ademais, bom lembrar que a Lei 9504/97, em seu artigo 11, § 7º, inclui, entre os elementos constitutivos do conceito de quitação eleitoral, “a apresentação de contas de campanha eleitoral”.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Assim sendo, o Impugnado não cumpriu obrigação eleitoral imposta a todos os candidatos, consistente em prestar as contas relativas a sua campanha eleitoral do ano de 2020, </w:t>
      </w:r>
      <w:r>
        <w:rPr>
          <w:rFonts w:cs="Cambria" w:ascii="Cambria" w:hAnsi="Cambria"/>
          <w:b/>
          <w:bCs/>
          <w:sz w:val="24"/>
          <w:szCs w:val="24"/>
        </w:rPr>
        <w:t>incorrendo, substancialmente, em ausência de quitação eleitoral no período de 01-janeiro-2021 a 31-dezembro-2024.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Com efeito, </w:t>
      </w:r>
      <w:r>
        <w:rPr>
          <w:rFonts w:cs="Cambria" w:ascii="Cambria" w:hAnsi="Cambria"/>
          <w:b/>
          <w:color w:val="000000"/>
          <w:sz w:val="24"/>
          <w:szCs w:val="24"/>
        </w:rPr>
        <w:t>aquele que não cumpre suas obrigações eleitorais não está quite com a Justiça Eleitoral e não está apto à candidatura, por não reunir a plenitude dos direitos políticos</w:t>
      </w:r>
      <w:r>
        <w:rPr>
          <w:rFonts w:cs="Cambria" w:ascii="Cambria" w:hAnsi="Cambria"/>
          <w:color w:val="000000"/>
          <w:sz w:val="24"/>
          <w:szCs w:val="24"/>
        </w:rPr>
        <w:t xml:space="preserve">. 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Constituindo a quitação eleitoral, destarte, requisito indispensável ao registro de candidatura (condição de elegibilidade, na visão do próprio TSE), forçoso concluir, portanto, que o indeferimento do registro do candidato que não apresentou suas contas no prazo legal relativamente às eleições de 2020, em decisão definitiva, é medida que se impõe.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Em face do exposto, requer o Ministério Público Eleitoral: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1) Seja recebida a presente e autuada junto aos autos do registro de candidatura do Impugnado;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2 Seja determinada a notificação do Impugnado para a defesa que tiver, no prazo de 07 (sete) dias;</w:t>
      </w:r>
    </w:p>
    <w:p>
      <w:pPr>
        <w:pStyle w:val="Western"/>
        <w:widowControl/>
        <w:suppressAutoHyphens w:val="true"/>
        <w:bidi w:val="0"/>
        <w:spacing w:before="100" w:after="119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3 Estando a matéria fática provada por documentos, sem necessidade de dilação probatória, seja julgada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procedente a impugnação para indeferir-se o pedido de registro de candidatura </w:t>
      </w:r>
      <w:r>
        <w:rPr>
          <w:rFonts w:cs="Cambria" w:ascii="Cambria" w:hAnsi="Cambria"/>
          <w:color w:val="000000"/>
          <w:sz w:val="24"/>
          <w:szCs w:val="24"/>
        </w:rPr>
        <w:t>do Impugnado.</w:t>
      </w:r>
    </w:p>
    <w:p>
      <w:pPr>
        <w:pStyle w:val="Western"/>
        <w:widowControl/>
        <w:suppressAutoHyphens w:val="true"/>
        <w:overflowPunct w:val="false"/>
        <w:bidi w:val="0"/>
        <w:spacing w:lineRule="auto" w:line="360" w:before="100" w:after="119"/>
        <w:ind w:left="0" w:right="0" w:firstLine="1701"/>
        <w:jc w:val="both"/>
        <w:rPr>
          <w:rFonts w:ascii="Cambria" w:hAnsi="Cambria"/>
        </w:rPr>
      </w:pPr>
      <w:r>
        <w:rPr>
          <w:rFonts w:cs="Cambria" w:ascii="Cambria" w:hAnsi="Cambria"/>
          <w:color w:val="000000"/>
          <w:sz w:val="24"/>
          <w:szCs w:val="24"/>
        </w:rPr>
        <w:t>4) Para o caso de Vossa Excelência. entender necessária a produção de provas, protesta por todos os meios em direito admitidos, com o fim de fazer prevalecer a verdade real dos fatos.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Arial Unicode MS">
    <w:charset w:val="80"/>
    <w:family w:val="swiss"/>
    <w:pitch w:val="variable"/>
  </w:font>
  <w:font w:name="Cambria">
    <w:charset w:val="01"/>
    <w:family w:val="roman"/>
    <w:pitch w:val="default"/>
  </w:font>
  <w:font w:name="Cambria">
    <w:charset w:val="01"/>
    <w:family w:val="roman"/>
    <w:pitch w:val="variable"/>
  </w:font>
  <w:font w:name="Book Antiqu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autoSpaceDE w:val="false"/>
        <w:spacing w:lineRule="auto" w:line="240"/>
        <w:jc w:val="both"/>
        <w:rPr/>
      </w:pPr>
      <w:r>
        <w:rPr>
          <w:rStyle w:val="Caracteresdenotaderodap"/>
        </w:rPr>
        <w:footnoteRef/>
      </w:r>
      <w:r>
        <w:rPr>
          <w:rStyle w:val="Caracteresdenotaderodap"/>
          <w:rFonts w:cs="Book Antiqua" w:ascii="Book Antiqua" w:hAnsi="Book Antiqua"/>
          <w:sz w:val="18"/>
        </w:rPr>
        <w:t>[1]</w:t>
      </w:r>
      <w:r>
        <w:rPr>
          <w:rFonts w:cs="Book Antiqua" w:ascii="Book Antiqua" w:hAnsi="Book Antiqua"/>
          <w:sz w:val="18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Art. 73. A decisão que julgar as contas eleitorais como não prestadas acarreta:</w:t>
      </w:r>
    </w:p>
    <w:p>
      <w:pPr>
        <w:pStyle w:val="Corpodotexto"/>
        <w:widowControl/>
        <w:spacing w:lineRule="auto" w:line="240" w:before="0" w:after="40"/>
        <w:ind w:left="0" w:right="0" w:hanging="0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 - ao candidato, o impedimento de obter a certidão de quitação eleitoral até o final da legislatura, persistindo os efeitos da restrição após esse período até a efetiva apresentação das contas;</w:t>
      </w:r>
    </w:p>
    <w:p>
      <w:pPr>
        <w:pStyle w:val="Normal"/>
        <w:autoSpaceDE w:val="false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estern">
    <w:name w:val="western"/>
    <w:basedOn w:val="Normal"/>
    <w:qFormat/>
    <w:pPr>
      <w:spacing w:before="100" w:after="119"/>
    </w:pPr>
    <w:rPr>
      <w:rFonts w:ascii="Arial Unicode MS" w:hAnsi="Arial Unicode MS" w:eastAsia="Arial Unicode MS" w:cs="Arial Unicode MS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683</Words>
  <Characters>3693</Characters>
  <CharactersWithSpaces>4358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2023-06-06T18:52:11Z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