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120" w:after="12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MPMS</w:t>
      </w:r>
    </w:p>
    <w:p>
      <w:pPr>
        <w:pStyle w:val="Normal1"/>
        <w:spacing w:lineRule="auto" w:line="360" w:before="120" w:after="12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DESPACHO DE CONVERSÃO</w:t>
      </w:r>
    </w:p>
    <w:p>
      <w:pPr>
        <w:pStyle w:val="Normal1"/>
        <w:spacing w:lineRule="auto" w:line="360" w:before="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Diante dos elementos de convicção trazidos ao presente feito, verifica-se a necessidade de instauração de procedimento próprio para apuração dos fatos. Assim, com fulcro no art. 55, I, da Portaria PGE n. 01/2019, </w:t>
      </w:r>
      <w:r>
        <w:rPr>
          <w:rFonts w:eastAsia="Cambria" w:cs="Cambria" w:ascii="Cambria" w:hAnsi="Cambria"/>
          <w:b/>
          <w:sz w:val="24"/>
          <w:szCs w:val="24"/>
        </w:rPr>
        <w:t xml:space="preserve">DETERMINO A CONVERSÃO DA PRESENTE NOTÍCIA DE FATO EM PROCEDIMENTO PREPARATÓRIO ELEITORAL </w:t>
      </w:r>
      <w:r>
        <w:rPr>
          <w:rFonts w:eastAsia="Cambria" w:cs="Cambria" w:ascii="Cambria" w:hAnsi="Cambria"/>
          <w:b/>
          <w:color w:val="FF0000"/>
          <w:sz w:val="24"/>
          <w:szCs w:val="24"/>
        </w:rPr>
        <w:t>(ou PROCEDIMENTO INVESTIGATÓRIO CRIMINAL)</w:t>
      </w:r>
      <w:r>
        <w:rPr>
          <w:rFonts w:eastAsia="Cambria" w:cs="Cambria" w:ascii="Cambria" w:hAnsi="Cambria"/>
          <w:sz w:val="24"/>
          <w:szCs w:val="24"/>
        </w:rPr>
        <w:t>, expedindo-se a respectiva Portaria instauradora.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>CUMPRA-SE.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1</Pages>
  <Words>70</Words>
  <Characters>443</Characters>
  <CharactersWithSpaces>506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2023-06-11T05:14:39Z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