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uppressAutoHyphens w:val="false"/>
        <w:spacing w:lineRule="auto" w:line="360"/>
        <w:jc w:val="both"/>
        <w:rPr>
          <w:rFonts w:ascii="Cambria" w:hAnsi="Cambria" w:cs="Cambria"/>
          <w:b/>
          <w:b/>
          <w:color w:val="C9211E"/>
          <w:sz w:val="24"/>
          <w:szCs w:val="24"/>
          <w:lang w:eastAsia="pt-BR"/>
        </w:rPr>
      </w:pPr>
      <w:r>
        <w:rPr>
          <w:rFonts w:cs="Cambria" w:ascii="Cambria" w:hAnsi="Cambria"/>
          <w:b/>
          <w:color w:val="C9211E"/>
          <w:sz w:val="24"/>
          <w:szCs w:val="24"/>
          <w:lang w:eastAsia="pt-BR"/>
        </w:rPr>
        <w:t>MPMS - Adaptado</w:t>
      </w:r>
    </w:p>
    <w:p>
      <w:pPr>
        <w:pStyle w:val="Normal"/>
        <w:suppressAutoHyphens w:val="false"/>
        <w:spacing w:lineRule="auto" w:line="360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jc w:val="right"/>
        <w:rPr>
          <w:rFonts w:ascii="Cambria" w:hAnsi="Cambria" w:cs="Cambria"/>
          <w:b/>
          <w:b/>
          <w:color w:val="FF0000"/>
          <w:sz w:val="24"/>
          <w:szCs w:val="24"/>
          <w:lang w:eastAsia="pt-BR"/>
        </w:rPr>
      </w:pPr>
      <w:r>
        <w:rPr>
          <w:rFonts w:cs="Cambria" w:ascii="Cambria" w:hAnsi="Cambria"/>
          <w:b/>
          <w:color w:val="FF0000"/>
          <w:sz w:val="24"/>
          <w:szCs w:val="24"/>
          <w:lang w:eastAsia="pt-BR"/>
        </w:rPr>
        <w:t>URGENTE - SIGILOSO</w:t>
      </w:r>
    </w:p>
    <w:p>
      <w:pPr>
        <w:pStyle w:val="Normal"/>
        <w:suppressAutoHyphens w:val="false"/>
        <w:spacing w:lineRule="auto" w:line="360"/>
        <w:jc w:val="both"/>
        <w:rPr>
          <w:rFonts w:ascii="Cambria" w:hAnsi="Cambria" w:cs="Cambria"/>
          <w:b/>
          <w:b/>
          <w:color w:val="FF0000"/>
          <w:sz w:val="24"/>
          <w:szCs w:val="24"/>
          <w:lang w:eastAsia="pt-BR"/>
        </w:rPr>
      </w:pPr>
      <w:r>
        <w:rPr>
          <w:rFonts w:cs="Cambria" w:ascii="Cambria" w:hAnsi="Cambria"/>
          <w:b/>
          <w:color w:val="FF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jc w:val="both"/>
        <w:rPr>
          <w:rFonts w:ascii="Cambria" w:hAnsi="Cambria" w:cs="Cambria"/>
          <w:b/>
          <w:b/>
          <w:color w:val="FF0000"/>
          <w:sz w:val="24"/>
          <w:szCs w:val="24"/>
          <w:lang w:eastAsia="pt-BR"/>
        </w:rPr>
      </w:pPr>
      <w:r>
        <w:rPr>
          <w:rFonts w:cs="Cambria" w:ascii="Cambria" w:hAnsi="Cambria"/>
          <w:b/>
          <w:color w:val="FF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eastAsia="pt-BR"/>
        </w:rPr>
        <w:t xml:space="preserve">O </w:t>
      </w:r>
      <w:r>
        <w:rPr>
          <w:rFonts w:cs="Cambria" w:ascii="Cambria" w:hAnsi="Cambria"/>
          <w:b/>
          <w:sz w:val="24"/>
          <w:szCs w:val="24"/>
          <w:lang w:eastAsia="pt-BR"/>
        </w:rPr>
        <w:t>Ministério Público Eleitoral</w:t>
      </w:r>
      <w:r>
        <w:rPr>
          <w:rFonts w:cs="Cambria" w:ascii="Cambria" w:hAnsi="Cambria"/>
          <w:sz w:val="24"/>
          <w:szCs w:val="24"/>
          <w:lang w:eastAsia="pt-BR"/>
        </w:rPr>
        <w:t xml:space="preserve">, por intermédio do Promotor Eleitoral que ao final subscreve, no uso de suas atribuições legais e com fundamento no art. 240, § 1º, alíneas </w:t>
      </w:r>
      <w:r>
        <w:rPr>
          <w:rFonts w:cs="Cambria" w:ascii="Cambria" w:hAnsi="Cambria"/>
          <w:i/>
          <w:sz w:val="24"/>
          <w:szCs w:val="24"/>
          <w:lang w:eastAsia="pt-BR"/>
        </w:rPr>
        <w:t xml:space="preserve">e </w:t>
      </w:r>
      <w:r>
        <w:rPr>
          <w:rFonts w:cs="Cambria" w:ascii="Cambria" w:hAnsi="Cambria"/>
          <w:sz w:val="24"/>
          <w:szCs w:val="24"/>
          <w:lang w:eastAsia="pt-BR"/>
        </w:rPr>
        <w:t xml:space="preserve">e </w:t>
      </w:r>
      <w:r>
        <w:rPr>
          <w:rFonts w:cs="Cambria" w:ascii="Cambria" w:hAnsi="Cambria"/>
          <w:i/>
          <w:sz w:val="24"/>
          <w:szCs w:val="24"/>
          <w:lang w:eastAsia="pt-BR"/>
        </w:rPr>
        <w:t>h</w:t>
      </w:r>
      <w:r>
        <w:rPr>
          <w:rFonts w:cs="Cambria" w:ascii="Cambria" w:hAnsi="Cambria"/>
          <w:sz w:val="24"/>
          <w:szCs w:val="24"/>
          <w:lang w:eastAsia="pt-BR"/>
        </w:rPr>
        <w:t xml:space="preserve">, do Código de Processo Penal, vem, perante Vossa Excelência, apresentar pedido de 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jc w:val="center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  <w:t>BUSCA E APREENSÃO</w:t>
      </w:r>
    </w:p>
    <w:p>
      <w:pPr>
        <w:pStyle w:val="Normal"/>
        <w:suppressAutoHyphens w:val="false"/>
        <w:spacing w:lineRule="auto" w:line="360"/>
        <w:jc w:val="center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eastAsia="pt-BR"/>
        </w:rPr>
        <w:t xml:space="preserve">na residência da pessoa de _____ </w:t>
      </w:r>
      <w:r>
        <w:rPr>
          <w:rFonts w:cs="Cambria" w:ascii="Cambria" w:hAnsi="Cambria"/>
          <w:sz w:val="24"/>
          <w:szCs w:val="24"/>
          <w:highlight w:val="yellow"/>
          <w:lang w:eastAsia="pt-BR"/>
        </w:rPr>
        <w:t>(nome e endereço completo – com todos os detalhes onde deve ser cumprida a busca)</w:t>
      </w:r>
      <w:r>
        <w:rPr>
          <w:rFonts w:cs="Cambria" w:ascii="Cambria" w:hAnsi="Cambria"/>
          <w:sz w:val="24"/>
          <w:szCs w:val="24"/>
          <w:lang w:eastAsia="pt-BR"/>
        </w:rPr>
        <w:t>, pelos seguintes fundamentos de fato e de direito.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  <w:t>I – Dos fatos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eastAsia="pt-BR"/>
        </w:rPr>
        <w:t>Segundo consta da denúncia recebida via sistema _______ (documento anexo), a pessoa de _______, candidato a vereador, estaria praticando condutas ilícitas consistente em distribuição de cestas básicas, na sua residência, aos eleitores de ______.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 xml:space="preserve">A partir da análise da denúncia recebida, constatou-se que realmente o candidato, auxiliados pelos familiares e cabos eleitorais, está ______ 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Com efeito, no local, há fortes evidências do cometimento do delito de compra de votos (art. 299 do Código Eleitoral), haja vista o registro de movimentação de diversas pessoas e a distribuição de cestas básicas, conforme fotografias que instruem a denúncia oferecida.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Saliente-se que a residência do candidato apresenta movimentação atípica com a saída de eleitores com caixas e sacolas, sendo que, possivelmente, a residência esteja sendo usada como ponto de distribuição das cestas básicas, o que justifica a realização da busca e apreensão.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eastAsia="pt-BR"/>
        </w:rPr>
        <w:t xml:space="preserve">Deste modo, em face dos fortes indícios do possível cometimento do delito de compra de votos (art. 299 do Código Eleitoral), necessária a verificação </w:t>
      </w:r>
      <w:r>
        <w:rPr>
          <w:rFonts w:cs="Cambria" w:ascii="Cambria" w:hAnsi="Cambria"/>
          <w:i/>
          <w:sz w:val="24"/>
          <w:szCs w:val="24"/>
          <w:lang w:eastAsia="pt-BR"/>
        </w:rPr>
        <w:t>in locu</w:t>
      </w:r>
      <w:r>
        <w:rPr>
          <w:rFonts w:cs="Cambria" w:ascii="Cambria" w:hAnsi="Cambria"/>
          <w:sz w:val="24"/>
          <w:szCs w:val="24"/>
          <w:lang w:eastAsia="pt-BR"/>
        </w:rPr>
        <w:t xml:space="preserve"> da veracidade da denúncia.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  <w:t>II – Do direito</w:t>
      </w:r>
    </w:p>
    <w:p>
      <w:pPr>
        <w:pStyle w:val="Normal"/>
        <w:suppressAutoHyphens w:val="false"/>
        <w:spacing w:lineRule="auto" w:line="36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i/>
          <w:iCs/>
          <w:sz w:val="24"/>
          <w:szCs w:val="24"/>
          <w:lang w:eastAsia="pt-BR"/>
        </w:rPr>
        <w:t>Ab initio</w:t>
      </w:r>
      <w:r>
        <w:rPr>
          <w:rFonts w:cs="Cambria" w:ascii="Cambria" w:hAnsi="Cambria"/>
          <w:sz w:val="24"/>
          <w:szCs w:val="24"/>
          <w:lang w:eastAsia="pt-BR"/>
        </w:rPr>
        <w:t xml:space="preserve">, convém salientar que o Código de Processo Penal, em seu art. 240, § 1º, alíneas </w:t>
      </w:r>
      <w:r>
        <w:rPr>
          <w:rFonts w:cs="Cambria" w:ascii="Cambria" w:hAnsi="Cambria"/>
          <w:i/>
          <w:sz w:val="24"/>
          <w:szCs w:val="24"/>
          <w:lang w:eastAsia="pt-BR"/>
        </w:rPr>
        <w:t>e</w:t>
      </w:r>
      <w:r>
        <w:rPr>
          <w:rFonts w:cs="Cambria" w:ascii="Cambria" w:hAnsi="Cambria"/>
          <w:sz w:val="24"/>
          <w:szCs w:val="24"/>
          <w:lang w:eastAsia="pt-BR"/>
        </w:rPr>
        <w:t xml:space="preserve"> e </w:t>
      </w:r>
      <w:r>
        <w:rPr>
          <w:rFonts w:cs="Cambria" w:ascii="Cambria" w:hAnsi="Cambria"/>
          <w:i/>
          <w:sz w:val="24"/>
          <w:szCs w:val="24"/>
          <w:lang w:eastAsia="pt-BR"/>
        </w:rPr>
        <w:t>h</w:t>
      </w:r>
      <w:r>
        <w:rPr>
          <w:rFonts w:cs="Cambria" w:ascii="Cambria" w:hAnsi="Cambria"/>
          <w:sz w:val="24"/>
          <w:szCs w:val="24"/>
          <w:lang w:eastAsia="pt-BR"/>
        </w:rPr>
        <w:t>, permite a realização de busca domiciliar quando existirem fundadas razões que a autorizem, para</w:t>
      </w:r>
      <w:r>
        <w:rPr>
          <w:rFonts w:cs="Cambria" w:ascii="Cambria" w:hAnsi="Cambria"/>
          <w:color w:val="000000"/>
          <w:sz w:val="24"/>
          <w:szCs w:val="24"/>
          <w:lang w:eastAsia="pt-BR"/>
        </w:rPr>
        <w:t xml:space="preserve"> descobrir objetos necessários à prova de infração e para coleta de qualquer elemento de convicção: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  <w:lang w:eastAsia="pt-BR"/>
        </w:rPr>
      </w:pPr>
      <w:r>
        <w:rPr>
          <w:rFonts w:cs="Cambria" w:ascii="Cambria" w:hAnsi="Cambria"/>
          <w:color w:val="000000"/>
          <w:sz w:val="24"/>
          <w:szCs w:val="24"/>
          <w:lang w:eastAsia="pt-BR"/>
        </w:rPr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  <w:lang w:eastAsia="pt-BR"/>
        </w:rPr>
      </w:pPr>
      <w:r>
        <w:rPr>
          <w:rFonts w:cs="Cambria" w:ascii="Cambria" w:hAnsi="Cambria"/>
          <w:color w:val="000000"/>
          <w:sz w:val="22"/>
          <w:szCs w:val="22"/>
          <w:lang w:eastAsia="pt-BR"/>
        </w:rPr>
        <w:t>Art. 240. A busca será domiciliar ou pessoal.</w:t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  <w:lang w:eastAsia="pt-BR"/>
        </w:rPr>
        <w:t>§ 1</w:t>
      </w:r>
      <w:r>
        <w:rPr>
          <w:rFonts w:cs="Cambria" w:ascii="Cambria" w:hAnsi="Cambria"/>
          <w:color w:val="000000"/>
          <w:sz w:val="22"/>
          <w:szCs w:val="22"/>
          <w:u w:val="single"/>
          <w:vertAlign w:val="superscript"/>
          <w:lang w:eastAsia="pt-BR"/>
        </w:rPr>
        <w:t xml:space="preserve">o </w:t>
      </w:r>
      <w:r>
        <w:rPr>
          <w:rFonts w:cs="Cambria" w:ascii="Cambria" w:hAnsi="Cambria"/>
          <w:color w:val="000000"/>
          <w:sz w:val="22"/>
          <w:szCs w:val="22"/>
          <w:lang w:eastAsia="pt-BR"/>
        </w:rPr>
        <w:t xml:space="preserve">Proceder-se-á à busca domiciliar, </w:t>
      </w:r>
      <w:r>
        <w:rPr>
          <w:rFonts w:cs="Cambria" w:ascii="Cambria" w:hAnsi="Cambria"/>
          <w:color w:val="000000"/>
          <w:sz w:val="22"/>
          <w:szCs w:val="22"/>
          <w:u w:val="single"/>
          <w:lang w:eastAsia="pt-BR"/>
        </w:rPr>
        <w:t>quando fundadas razões a autorizarem</w:t>
      </w:r>
      <w:r>
        <w:rPr>
          <w:rFonts w:cs="Cambria" w:ascii="Cambria" w:hAnsi="Cambria"/>
          <w:color w:val="000000"/>
          <w:sz w:val="22"/>
          <w:szCs w:val="22"/>
          <w:lang w:eastAsia="pt-BR"/>
        </w:rPr>
        <w:t>, para:</w:t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  <w:shd w:fill="FFFFFF" w:val="clear"/>
          <w:lang w:eastAsia="pt-BR"/>
        </w:rPr>
        <w:t xml:space="preserve">e) descobrir objetos necessários à </w:t>
      </w:r>
      <w:r>
        <w:rPr>
          <w:rFonts w:cs="Cambria" w:ascii="Cambria" w:hAnsi="Cambria"/>
          <w:color w:val="000000"/>
          <w:sz w:val="22"/>
          <w:szCs w:val="22"/>
          <w:u w:val="single"/>
          <w:shd w:fill="FFFFFF" w:val="clear"/>
          <w:lang w:eastAsia="pt-BR"/>
        </w:rPr>
        <w:t>prova de infração</w:t>
      </w:r>
      <w:r>
        <w:rPr>
          <w:rFonts w:cs="Cambria" w:ascii="Cambria" w:hAnsi="Cambria"/>
          <w:color w:val="000000"/>
          <w:sz w:val="22"/>
          <w:szCs w:val="22"/>
          <w:shd w:fill="FFFFFF" w:val="clear"/>
          <w:lang w:eastAsia="pt-BR"/>
        </w:rPr>
        <w:t xml:space="preserve"> ou à defesa do réu;</w:t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  <w:shd w:fill="FFFFFF" w:val="clear"/>
          <w:lang w:eastAsia="pt-BR"/>
        </w:rPr>
        <w:t xml:space="preserve">h) </w:t>
      </w:r>
      <w:r>
        <w:rPr>
          <w:rFonts w:cs="Cambria" w:ascii="Cambria" w:hAnsi="Cambria"/>
          <w:color w:val="000000"/>
          <w:sz w:val="22"/>
          <w:szCs w:val="22"/>
          <w:u w:val="single"/>
          <w:shd w:fill="FFFFFF" w:val="clear"/>
          <w:lang w:eastAsia="pt-BR"/>
        </w:rPr>
        <w:t>colher qualquer elemento de convicção</w:t>
      </w:r>
      <w:r>
        <w:rPr>
          <w:rFonts w:cs="Cambria" w:ascii="Cambria" w:hAnsi="Cambria"/>
          <w:color w:val="000000"/>
          <w:sz w:val="22"/>
          <w:szCs w:val="22"/>
          <w:shd w:fill="FFFFFF" w:val="clear"/>
          <w:lang w:eastAsia="pt-BR"/>
        </w:rPr>
        <w:t>.</w:t>
      </w:r>
    </w:p>
    <w:p>
      <w:pPr>
        <w:pStyle w:val="Normal"/>
        <w:suppressAutoHyphens w:val="false"/>
        <w:autoSpaceDE w:val="false"/>
        <w:spacing w:lineRule="auto" w:line="360"/>
        <w:ind w:left="1701" w:right="0" w:hanging="0"/>
        <w:jc w:val="both"/>
        <w:rPr>
          <w:rFonts w:ascii="Cambria" w:hAnsi="Cambria" w:cs="Cambria"/>
          <w:color w:val="000000"/>
          <w:sz w:val="24"/>
          <w:szCs w:val="24"/>
          <w:shd w:fill="FFFFFF" w:val="clear"/>
          <w:lang w:eastAsia="pt-BR"/>
        </w:rPr>
      </w:pPr>
      <w:r>
        <w:rPr>
          <w:rFonts w:cs="Cambria" w:ascii="Cambria" w:hAnsi="Cambria"/>
          <w:color w:val="000000"/>
          <w:sz w:val="24"/>
          <w:szCs w:val="24"/>
          <w:shd w:fill="FFFFFF" w:val="clear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eastAsia="pt-BR"/>
        </w:rPr>
        <w:t xml:space="preserve">Verifica-se, </w:t>
      </w:r>
      <w:r>
        <w:rPr>
          <w:rFonts w:cs="Cambria" w:ascii="Cambria" w:hAnsi="Cambria"/>
          <w:i/>
          <w:iCs/>
          <w:sz w:val="24"/>
          <w:szCs w:val="24"/>
          <w:lang w:eastAsia="pt-BR"/>
        </w:rPr>
        <w:t>in casu</w:t>
      </w:r>
      <w:r>
        <w:rPr>
          <w:rFonts w:cs="Cambria" w:ascii="Cambria" w:hAnsi="Cambria"/>
          <w:sz w:val="24"/>
          <w:szCs w:val="24"/>
          <w:lang w:eastAsia="pt-BR"/>
        </w:rPr>
        <w:t xml:space="preserve">, a existência de fundadas razões que autorizam a busca e apreensão nas duas residências, considerando as </w:t>
      </w:r>
      <w:r>
        <w:rPr>
          <w:rFonts w:cs="Cambria" w:ascii="Cambria" w:hAnsi="Cambria"/>
          <w:sz w:val="24"/>
          <w:szCs w:val="24"/>
          <w:u w:val="single"/>
          <w:lang w:eastAsia="pt-BR"/>
        </w:rPr>
        <w:t>informações detalhadas, firmes e coerentes constantes da denúncia</w:t>
      </w:r>
      <w:r>
        <w:rPr>
          <w:rFonts w:cs="Cambria" w:ascii="Cambria" w:hAnsi="Cambria"/>
          <w:sz w:val="24"/>
          <w:szCs w:val="24"/>
          <w:lang w:eastAsia="pt-BR"/>
        </w:rPr>
        <w:t xml:space="preserve"> e a </w:t>
      </w:r>
      <w:r>
        <w:rPr>
          <w:rFonts w:cs="Cambria" w:ascii="Cambria" w:hAnsi="Cambria"/>
          <w:sz w:val="24"/>
          <w:szCs w:val="24"/>
          <w:u w:val="single"/>
          <w:lang w:eastAsia="pt-BR"/>
        </w:rPr>
        <w:t>apresentação de diversas fotografias referentes à movimentação de pessoas e recebimento de cestas básicas em frente à residência do representado</w:t>
      </w:r>
      <w:r>
        <w:rPr>
          <w:rFonts w:cs="Cambria" w:ascii="Cambria" w:hAnsi="Cambria"/>
          <w:sz w:val="24"/>
          <w:szCs w:val="24"/>
          <w:lang w:eastAsia="pt-BR"/>
        </w:rPr>
        <w:t xml:space="preserve">, que </w:t>
      </w:r>
      <w:r>
        <w:rPr>
          <w:rFonts w:cs="Cambria" w:ascii="Cambria" w:hAnsi="Cambria"/>
          <w:sz w:val="24"/>
          <w:szCs w:val="24"/>
          <w:u w:val="single"/>
          <w:lang w:eastAsia="pt-BR"/>
        </w:rPr>
        <w:t>demonstram claramente pessoas entrando e saindo com cestas básicas do local</w:t>
      </w:r>
      <w:r>
        <w:rPr>
          <w:rFonts w:cs="Cambria" w:ascii="Cambria" w:hAnsi="Cambria"/>
          <w:sz w:val="24"/>
          <w:szCs w:val="24"/>
          <w:lang w:eastAsia="pt-BR"/>
        </w:rPr>
        <w:t>.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Ademais, além da denúncia recebida pelo TRE, o Ministério Público confirmou a veracidade das informações com a testemunha ______, que corroborou a denúncia recebida, conforme termo de declaração anexo.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  <w:lang w:eastAsia="pt-BR"/>
        </w:rPr>
      </w:pPr>
      <w:r>
        <w:rPr>
          <w:rFonts w:cs="Cambria" w:ascii="Cambria" w:hAnsi="Cambria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Constatadas evidências mais do que suficientes para demonstração da possibilidade de cometimento de crime eleitoral, imperiosa a necessidade do deferimento da busca e apreensão.</w:t>
      </w:r>
    </w:p>
    <w:p>
      <w:pPr>
        <w:pStyle w:val="Normal"/>
        <w:suppressAutoHyphens w:val="false"/>
        <w:autoSpaceDE w:val="false"/>
        <w:spacing w:lineRule="auto" w:line="360"/>
        <w:jc w:val="both"/>
        <w:rPr>
          <w:rFonts w:ascii="Cambria" w:hAnsi="Cambria" w:cs="Cambria"/>
          <w:color w:val="000000"/>
          <w:sz w:val="24"/>
          <w:szCs w:val="24"/>
          <w:lang w:eastAsia="pt-BR"/>
        </w:rPr>
      </w:pPr>
      <w:r>
        <w:rPr>
          <w:rFonts w:cs="Cambria" w:ascii="Cambria" w:hAnsi="Cambria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Necessário salientar que a busca e apreensão domiciliar depende de deferimento judicial do pedido, conforme lição doutrinária: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  <w:lang w:eastAsia="pt-BR"/>
        </w:rPr>
        <w:t>Abstraídas as situações que autorizam a busca independentemente de ordem judicial, condiciona-se o deferimento da ordem judicial de busca e apreensão domiciliar à existência de fundadas razões que a autorizem (art. 240, § 1º, do CPP), como tais consideradas aquelas externadas por meio de motivação concreta quanto à sua ocorrência e amparadas, senão em início de prova, ao menos em indícios relativamente convincentes quanto à necessidade da medida. (</w:t>
      </w:r>
      <w:r>
        <w:rPr>
          <w:rFonts w:cs="Cambria" w:ascii="Cambria" w:hAnsi="Cambria"/>
          <w:i/>
          <w:iCs/>
          <w:sz w:val="22"/>
          <w:szCs w:val="22"/>
          <w:lang w:eastAsia="pt-BR"/>
        </w:rPr>
        <w:t>AVENA, Noberto Claudio Pancaro. Processo Penal – 7 ed. - Rio de Janeiro : Forense; São Paulo : MÉTODO, 2012. Pág. 357</w:t>
      </w:r>
      <w:r>
        <w:rPr>
          <w:rFonts w:cs="Cambria" w:ascii="Cambria" w:hAnsi="Cambria"/>
          <w:sz w:val="22"/>
          <w:szCs w:val="22"/>
          <w:lang w:eastAsia="pt-BR"/>
        </w:rPr>
        <w:t>)</w:t>
      </w:r>
    </w:p>
    <w:p>
      <w:pPr>
        <w:pStyle w:val="Normal"/>
        <w:suppressAutoHyphens w:val="false"/>
        <w:autoSpaceDE w:val="false"/>
        <w:spacing w:lineRule="auto" w:line="360"/>
        <w:ind w:left="1701" w:right="0" w:hanging="0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De igual sorte, a Constituição Federal, ao mesmo tempo em que garante a proteção da vida privada e da intimidade das pessoas, autoriza a busca domiciliar por determinação judicial (art. 5º, inciso XI):</w:t>
      </w:r>
    </w:p>
    <w:p>
      <w:pPr>
        <w:pStyle w:val="Normal"/>
        <w:suppressAutoHyphens w:val="false"/>
        <w:autoSpaceDE w:val="false"/>
        <w:spacing w:lineRule="auto" w:line="360"/>
        <w:jc w:val="both"/>
        <w:rPr>
          <w:rFonts w:ascii="Cambria" w:hAnsi="Cambria" w:cs="Cambria"/>
          <w:b/>
          <w:b/>
          <w:bCs/>
          <w:sz w:val="24"/>
          <w:szCs w:val="24"/>
          <w:lang w:eastAsia="pt-BR"/>
        </w:rPr>
      </w:pPr>
      <w:r>
        <w:rPr>
          <w:rFonts w:cs="Cambria" w:ascii="Cambria" w:hAnsi="Cambria"/>
          <w:b/>
          <w:bCs/>
          <w:sz w:val="24"/>
          <w:szCs w:val="24"/>
          <w:lang w:eastAsia="pt-BR"/>
        </w:rPr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  <w:lang w:eastAsia="pt-BR"/>
        </w:rPr>
      </w:pPr>
      <w:r>
        <w:rPr>
          <w:rFonts w:cs="Cambria" w:ascii="Cambria" w:hAnsi="Cambria"/>
          <w:color w:val="000000"/>
          <w:sz w:val="22"/>
          <w:szCs w:val="22"/>
          <w:lang w:eastAsia="pt-BR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 (...)</w:t>
      </w:r>
    </w:p>
    <w:p>
      <w:pPr>
        <w:pStyle w:val="Normal"/>
        <w:widowControl/>
        <w:suppressAutoHyphens w:val="false"/>
        <w:autoSpaceDE w:val="fals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sz w:val="22"/>
          <w:szCs w:val="22"/>
          <w:lang w:eastAsia="pt-BR"/>
        </w:rPr>
        <w:t xml:space="preserve">XI - </w:t>
      </w:r>
      <w:r>
        <w:rPr>
          <w:rFonts w:cs="Cambria" w:ascii="Cambria" w:hAnsi="Cambria"/>
          <w:sz w:val="22"/>
          <w:szCs w:val="22"/>
          <w:u w:val="single"/>
          <w:lang w:eastAsia="pt-BR"/>
        </w:rPr>
        <w:t>a casa é asilo inviolável do indivíduo</w:t>
      </w:r>
      <w:r>
        <w:rPr>
          <w:rFonts w:cs="Cambria" w:ascii="Cambria" w:hAnsi="Cambria"/>
          <w:sz w:val="22"/>
          <w:szCs w:val="22"/>
          <w:lang w:eastAsia="pt-BR"/>
        </w:rPr>
        <w:t xml:space="preserve">, </w:t>
      </w:r>
      <w:r>
        <w:rPr>
          <w:rFonts w:cs="Cambria" w:ascii="Cambria" w:hAnsi="Cambria"/>
          <w:sz w:val="22"/>
          <w:szCs w:val="22"/>
          <w:u w:val="single"/>
          <w:lang w:eastAsia="pt-BR"/>
        </w:rPr>
        <w:t>ninguém nela podendo penetrar</w:t>
      </w:r>
      <w:r>
        <w:rPr>
          <w:rFonts w:cs="Cambria" w:ascii="Cambria" w:hAnsi="Cambria"/>
          <w:sz w:val="22"/>
          <w:szCs w:val="22"/>
          <w:lang w:eastAsia="pt-BR"/>
        </w:rPr>
        <w:t xml:space="preserve"> sem consentimento do morador, salvo em caso de flagrante delito ou desastre, ou para prestar socorro, ou, </w:t>
      </w:r>
      <w:r>
        <w:rPr>
          <w:rFonts w:cs="Cambria" w:ascii="Cambria" w:hAnsi="Cambria"/>
          <w:sz w:val="22"/>
          <w:szCs w:val="22"/>
          <w:u w:val="single"/>
          <w:lang w:eastAsia="pt-BR"/>
        </w:rPr>
        <w:t>durante o dia</w:t>
      </w:r>
      <w:r>
        <w:rPr>
          <w:rFonts w:cs="Cambria" w:ascii="Cambria" w:hAnsi="Cambria"/>
          <w:sz w:val="22"/>
          <w:szCs w:val="22"/>
          <w:lang w:eastAsia="pt-BR"/>
        </w:rPr>
        <w:t xml:space="preserve">, </w:t>
      </w:r>
      <w:r>
        <w:rPr>
          <w:rFonts w:cs="Cambria" w:ascii="Cambria" w:hAnsi="Cambria"/>
          <w:sz w:val="22"/>
          <w:szCs w:val="22"/>
          <w:u w:val="single"/>
          <w:lang w:eastAsia="pt-BR"/>
        </w:rPr>
        <w:t>por determinação judicial</w:t>
      </w:r>
      <w:r>
        <w:rPr>
          <w:rFonts w:cs="Cambria" w:ascii="Cambria" w:hAnsi="Cambria"/>
          <w:sz w:val="22"/>
          <w:szCs w:val="22"/>
          <w:lang w:eastAsia="pt-BR"/>
        </w:rPr>
        <w:t>;</w:t>
      </w:r>
    </w:p>
    <w:p>
      <w:pPr>
        <w:pStyle w:val="Normal"/>
        <w:suppressAutoHyphens w:val="false"/>
        <w:autoSpaceDE w:val="false"/>
        <w:spacing w:lineRule="auto" w:line="360"/>
        <w:ind w:left="1701" w:right="0" w:hanging="0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No presente caso, as circunstâncias relevam fortes indícios da ocorrência de crime eleitoral, havendo evidente necessidade e fundadas razões que autorizam a medida de busca e apreensão, conforme exige o art. 240 do CPP.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Por fim, ressalta-se que, apesar do Código Eleitoral não prever normas específicas sobre a busca e apreensão para apuração de crimes eleitorais, é pacífico na doutrina e na jurisprudência esta possibilidade, até porque o próprio Código Eleitoral, em seu art. 364, autoriza expressamente a aplicação subsidiária ou supletiva do Código de Processo Penal, como é o caso do presente pedido.</w:t>
      </w:r>
    </w:p>
    <w:p>
      <w:pPr>
        <w:pStyle w:val="Normal"/>
        <w:suppressAutoHyphens w:val="false"/>
        <w:autoSpaceDE w:val="false"/>
        <w:spacing w:lineRule="auto" w:line="360"/>
        <w:ind w:left="1701" w:right="0" w:hanging="0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1701" w:right="0" w:hanging="0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  <w:t>III – Dos pedidos</w:t>
      </w:r>
    </w:p>
    <w:p>
      <w:pPr>
        <w:pStyle w:val="Normal"/>
        <w:suppressAutoHyphens w:val="false"/>
        <w:autoSpaceDE w:val="false"/>
        <w:spacing w:lineRule="auto" w:line="360"/>
        <w:ind w:left="1701" w:right="0" w:hanging="0"/>
        <w:jc w:val="both"/>
        <w:rPr>
          <w:rFonts w:ascii="Cambria" w:hAnsi="Cambria" w:cs="Cambria"/>
          <w:b/>
          <w:b/>
          <w:sz w:val="24"/>
          <w:szCs w:val="24"/>
          <w:lang w:eastAsia="pt-BR"/>
        </w:rPr>
      </w:pPr>
      <w:r>
        <w:rPr>
          <w:rFonts w:cs="Cambria" w:ascii="Cambria" w:hAnsi="Cambria"/>
          <w:b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  <w:lang w:eastAsia="pt-BR"/>
        </w:rPr>
        <w:t xml:space="preserve">Ante o exposto, o Ministério Público Eleitoral requer, após a atuação e recebimento da presente ação, seja expedido </w:t>
      </w:r>
      <w:r>
        <w:rPr>
          <w:rFonts w:cs="Cambria" w:ascii="Cambria" w:hAnsi="Cambria"/>
          <w:b/>
          <w:sz w:val="24"/>
          <w:szCs w:val="24"/>
          <w:lang w:eastAsia="pt-BR"/>
        </w:rPr>
        <w:t>mandado de busca e apreensão</w:t>
      </w:r>
      <w:r>
        <w:rPr>
          <w:rFonts w:cs="Cambria" w:ascii="Cambria" w:hAnsi="Cambria"/>
          <w:sz w:val="24"/>
          <w:szCs w:val="24"/>
          <w:lang w:eastAsia="pt-BR"/>
        </w:rPr>
        <w:t xml:space="preserve"> para cumprimento na residência de </w:t>
      </w:r>
      <w:r>
        <w:rPr>
          <w:rFonts w:cs="Cambria" w:ascii="Cambria" w:hAnsi="Cambria"/>
          <w:sz w:val="24"/>
          <w:szCs w:val="24"/>
          <w:u w:val="single"/>
          <w:lang w:eastAsia="pt-BR"/>
        </w:rPr>
        <w:t>_______</w:t>
      </w:r>
      <w:r>
        <w:rPr>
          <w:rFonts w:cs="Cambria" w:ascii="Cambria" w:hAnsi="Cambria"/>
          <w:sz w:val="24"/>
          <w:szCs w:val="24"/>
          <w:lang w:eastAsia="pt-BR"/>
        </w:rPr>
        <w:t>, localizada na Rua ____________, para fins de apreensão de cestas básicas, de quantia em dinheiro que seja considerada anormal para manutenção em residência (montante acima de R$ 3.000,00 – três mil reais), bem como documentos referentes às eleições e relacionados à conduta ilícita, tais como, agendas, relações de eleitores e quaisquer tipos de anotações e registros que possam indicar a compra de votos, seja manuscrito, mídia eletrônica ou qualquer outro formato.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  <w:t>Requer-se, também, para facilitar a diligência e identificar as residências, caso necessário, que as fotos constantes da denúncia acompanhem o mandado de busca e apreensão.</w:t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 w:cs="Cambria"/>
          <w:sz w:val="24"/>
          <w:szCs w:val="24"/>
          <w:lang w:eastAsia="pt-BR"/>
        </w:rPr>
      </w:pPr>
      <w:r>
        <w:rPr>
          <w:rFonts w:cs="Cambria" w:ascii="Cambria" w:hAnsi="Cambria"/>
          <w:sz w:val="24"/>
          <w:szCs w:val="24"/>
          <w:lang w:eastAsia="pt-BR"/>
        </w:rPr>
      </w:r>
    </w:p>
    <w:p>
      <w:pPr>
        <w:pStyle w:val="Normal"/>
        <w:suppressAutoHyphens w:val="false"/>
        <w:autoSpaceDE w:val="false"/>
        <w:spacing w:lineRule="auto" w:line="360"/>
        <w:ind w:left="0" w:right="0" w:firstLine="1701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  <w:lang w:eastAsia="pt-BR"/>
        </w:rPr>
        <w:t>Por fim, pela natureza da demanda, requer-se a decreta de sigilo judicial do processo.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5</Pages>
  <Words>923</Words>
  <Characters>5094</Characters>
  <CharactersWithSpaces>5990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2023-06-11T04:15:20Z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