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Trata-se de pedido de registro de candidatura, no qual se verifica que estão presentes as condições de elegibilidade e registrabilidade (documentos essenciais), sendo que o </w:t>
      </w:r>
      <w:r>
        <w:rPr>
          <w:rFonts w:cs="Arial" w:ascii="Cambria" w:hAnsi="Cambria"/>
          <w:i/>
          <w:iCs/>
          <w:color w:val="000000"/>
          <w:sz w:val="24"/>
          <w:szCs w:val="24"/>
        </w:rPr>
        <w:t>parquet</w:t>
      </w:r>
      <w:r>
        <w:rPr>
          <w:rFonts w:cs="Arial" w:ascii="Cambria" w:hAnsi="Cambria"/>
          <w:color w:val="000000"/>
          <w:sz w:val="24"/>
          <w:szCs w:val="24"/>
        </w:rPr>
        <w:t xml:space="preserve"> não tem conhecim3nto de nenhuma causa de inelegibilidade que se enquadre o(a) requerente, nos termos do art. 14 da Constituição Federal e do art. 1º da LC 64/90.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Com efeito, apesar de no momento do registro de candidatura o(a) recorrente não possuir </w:t>
      </w:r>
      <w:r>
        <w:rPr>
          <w:rFonts w:cs="Arial" w:ascii="Cambria" w:hAnsi="Cambria"/>
          <w:color w:val="000000"/>
          <w:sz w:val="24"/>
          <w:szCs w:val="24"/>
          <w:u w:val="single"/>
        </w:rPr>
        <w:t>quitação eleitoral</w:t>
      </w:r>
      <w:r>
        <w:rPr>
          <w:rFonts w:cs="Arial" w:ascii="Cambria" w:hAnsi="Cambria"/>
          <w:color w:val="000000"/>
          <w:sz w:val="24"/>
          <w:szCs w:val="24"/>
        </w:rPr>
        <w:t xml:space="preserve"> em razão de </w:t>
      </w:r>
      <w:r>
        <w:rPr>
          <w:rFonts w:cs="Arial" w:ascii="Cambria" w:hAnsi="Cambria"/>
          <w:color w:val="000000"/>
          <w:sz w:val="24"/>
          <w:szCs w:val="24"/>
          <w:u w:val="single"/>
        </w:rPr>
        <w:t>multa eleitoral</w:t>
      </w:r>
      <w:r>
        <w:rPr>
          <w:rFonts w:cs="Arial" w:ascii="Cambria" w:hAnsi="Cambria"/>
          <w:color w:val="000000"/>
          <w:sz w:val="24"/>
          <w:szCs w:val="24"/>
        </w:rPr>
        <w:t xml:space="preserve">, o que se afigura como </w:t>
      </w:r>
      <w:r>
        <w:rPr>
          <w:rFonts w:cs="Arial" w:ascii="Cambria" w:hAnsi="Cambria"/>
          <w:color w:val="000000"/>
          <w:sz w:val="24"/>
          <w:szCs w:val="24"/>
          <w:u w:val="single"/>
        </w:rPr>
        <w:t>condição de elegibilidade</w:t>
      </w:r>
      <w:r>
        <w:rPr>
          <w:rFonts w:cs="Arial" w:ascii="Cambria" w:hAnsi="Cambria"/>
          <w:color w:val="000000"/>
          <w:sz w:val="24"/>
          <w:szCs w:val="24"/>
        </w:rPr>
        <w:t xml:space="preserve"> (artigo 11, </w:t>
      </w:r>
      <w:r>
        <w:rPr>
          <w:rFonts w:eastAsia="Times New Roman" w:cs="Arial" w:ascii="Cambria" w:hAnsi="Cambria"/>
          <w:color w:val="000000"/>
          <w:sz w:val="24"/>
          <w:szCs w:val="24"/>
        </w:rPr>
        <w:t xml:space="preserve">§ 1º, </w:t>
      </w:r>
      <w:r>
        <w:rPr>
          <w:rFonts w:cs="Arial" w:ascii="Cambria" w:hAnsi="Cambria"/>
          <w:color w:val="000000"/>
          <w:sz w:val="24"/>
          <w:szCs w:val="24"/>
        </w:rPr>
        <w:t xml:space="preserve">VI, e </w:t>
      </w:r>
      <w:r>
        <w:rPr>
          <w:rFonts w:eastAsia="Times New Roman" w:cs="Arial" w:ascii="Cambria" w:hAnsi="Cambria"/>
          <w:color w:val="000000"/>
          <w:sz w:val="24"/>
          <w:szCs w:val="24"/>
        </w:rPr>
        <w:t>§§ 7º e 8º,</w:t>
      </w:r>
      <w:r>
        <w:rPr>
          <w:rFonts w:cs="Arial" w:ascii="Cambria" w:hAnsi="Cambria"/>
          <w:color w:val="000000"/>
          <w:sz w:val="24"/>
          <w:szCs w:val="24"/>
        </w:rPr>
        <w:t xml:space="preserve"> da Lei 9.504/97), </w:t>
      </w:r>
      <w:r>
        <w:rPr>
          <w:rFonts w:eastAsia="Times New Roman" w:cs="Arial" w:ascii="Cambria" w:hAnsi="Cambria"/>
          <w:i w:val="false"/>
          <w:iCs w:val="false"/>
          <w:color w:val="000000"/>
          <w:sz w:val="24"/>
          <w:szCs w:val="24"/>
        </w:rPr>
        <w:t xml:space="preserve"> tem-se que </w:t>
      </w:r>
      <w:r>
        <w:rPr>
          <w:rFonts w:eastAsia="Times New Roman" w:cs="Arial" w:ascii="Cambria" w:hAnsi="Cambria"/>
          <w:i w:val="false"/>
          <w:iCs w:val="false"/>
          <w:color w:val="000000"/>
          <w:sz w:val="24"/>
          <w:szCs w:val="24"/>
          <w:u w:val="single"/>
        </w:rPr>
        <w:t>posteriormente</w:t>
      </w:r>
      <w:r>
        <w:rPr>
          <w:rFonts w:eastAsia="Times New Roman" w:cs="Arial" w:ascii="Cambria" w:hAnsi="Cambria"/>
          <w:i w:val="false"/>
          <w:iCs w:val="false"/>
          <w:color w:val="000000"/>
          <w:sz w:val="24"/>
          <w:szCs w:val="24"/>
        </w:rPr>
        <w:t xml:space="preserve"> ao registro foi efetuado o pagamento e/ou regular parcelamento da multa eleitoral, conforme se verifica às fls. ____.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Nesse contexto, tem-se que o referido fato superveniente que beneficia o(a) candidato(a) tem o condão de superar a inelegibilidade presente no momento do registro de candidatura, nos termos do art. 11, </w:t>
      </w:r>
      <w:r>
        <w:rPr>
          <w:rFonts w:eastAsia="Times New Roman" w:cs="Arial" w:ascii="Cambria" w:hAnsi="Cambria"/>
          <w:color w:val="000000"/>
          <w:sz w:val="24"/>
          <w:szCs w:val="24"/>
        </w:rPr>
        <w:t>§ 10, da Lei nº 9.504/97.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eastAsia="Times New Roman" w:cs="Arial" w:ascii="Cambria" w:hAnsi="Cambria"/>
          <w:color w:val="000000"/>
          <w:sz w:val="24"/>
          <w:szCs w:val="24"/>
        </w:rPr>
        <w:t xml:space="preserve">Nesse sentido, dispõe os Enunciados das Súmulas nº 43 e 50 do TSE, </w:t>
      </w:r>
      <w:r>
        <w:rPr>
          <w:rFonts w:eastAsia="Times New Roman" w:cs="Arial" w:ascii="Cambria" w:hAnsi="Cambria"/>
          <w:i/>
          <w:iCs/>
          <w:color w:val="000000"/>
          <w:sz w:val="24"/>
          <w:szCs w:val="24"/>
        </w:rPr>
        <w:t>verbis</w:t>
      </w:r>
      <w:r>
        <w:rPr>
          <w:rFonts w:eastAsia="Times New Roman" w:cs="Arial" w:ascii="Cambria" w:hAnsi="Cambria"/>
          <w:color w:val="000000"/>
          <w:sz w:val="24"/>
          <w:szCs w:val="24"/>
        </w:rPr>
        <w:t>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/>
        <w:ind w:left="0" w:right="0" w:firstLine="1984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 w:val="22"/>
          <w:szCs w:val="22"/>
        </w:rPr>
        <w:t xml:space="preserve">Súmula 43: As alterações fáticas ou jurídicas supervenientes ao registro que beneficiem o candidato, nos termos da parte final do art. 11, § 10, da Lei n° 9.504/97, </w:t>
      </w:r>
      <w:r>
        <w:rPr>
          <w:rFonts w:cs="Arial" w:ascii="Cambria" w:hAnsi="Cambria"/>
          <w:color w:val="000000"/>
          <w:sz w:val="22"/>
          <w:szCs w:val="22"/>
          <w:u w:val="single"/>
        </w:rPr>
        <w:t>também devem ser admitidas para as condições de elegibilidade</w:t>
      </w:r>
      <w:r>
        <w:rPr>
          <w:rFonts w:cs="Arial" w:ascii="Cambria" w:hAnsi="Cambria"/>
          <w:color w:val="000000"/>
          <w:sz w:val="22"/>
          <w:szCs w:val="22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/>
        <w:ind w:left="0" w:right="0" w:firstLine="19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Súmula nº 50. O pagamento da multa eleitoral pelo candidato ou a comprovação do cumprimento regular de seu parcelamento após o pedido de registro, mas antes do julgamento respectivo, afasta a ausência de quitação eleitoral.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De outro lado, estão presentes as demais condições de elegibilidade e registrabilidade, sendo que o </w:t>
      </w:r>
      <w:r>
        <w:rPr>
          <w:rFonts w:cs="Arial" w:ascii="Cambria" w:hAnsi="Cambria"/>
          <w:i/>
          <w:iCs/>
          <w:color w:val="000000"/>
          <w:sz w:val="24"/>
          <w:szCs w:val="24"/>
        </w:rPr>
        <w:t>parquet</w:t>
      </w:r>
      <w:r>
        <w:rPr>
          <w:rFonts w:cs="Arial" w:ascii="Cambria" w:hAnsi="Cambria"/>
          <w:color w:val="000000"/>
          <w:sz w:val="24"/>
          <w:szCs w:val="24"/>
        </w:rPr>
        <w:t xml:space="preserve"> não tem conhecimento de nenhuma causa de inelegibilidade na qual se enquadre o(a) requerente, nos termos do art. 14 da Constituição Federal, do art. 1º da LC 64/90, e dos arts. 9º e 11 da Lei nº 9.504/97.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i w:val="false"/>
          <w:iCs w:val="false"/>
          <w:color w:val="000000"/>
          <w:sz w:val="24"/>
          <w:szCs w:val="24"/>
        </w:rPr>
        <w:t xml:space="preserve">Ante o exposto, o </w:t>
      </w:r>
      <w:r>
        <w:rPr>
          <w:rFonts w:cs="Arial" w:ascii="Cambria" w:hAnsi="Cambria"/>
          <w:b/>
          <w:bCs/>
          <w:i w:val="false"/>
          <w:iCs w:val="false"/>
          <w:color w:val="000000"/>
          <w:sz w:val="24"/>
          <w:szCs w:val="24"/>
        </w:rPr>
        <w:t>Ministério Público Eleitoral</w:t>
      </w:r>
      <w:r>
        <w:rPr>
          <w:rFonts w:cs="Arial" w:ascii="Cambria" w:hAnsi="Cambria"/>
          <w:i w:val="false"/>
          <w:iCs w:val="false"/>
          <w:color w:val="000000"/>
          <w:sz w:val="24"/>
          <w:szCs w:val="24"/>
        </w:rPr>
        <w:t xml:space="preserve"> manifesta-se pelo </w:t>
      </w:r>
      <w:r>
        <w:rPr>
          <w:rFonts w:cs="Arial" w:ascii="Cambria" w:hAnsi="Cambria"/>
          <w:b/>
          <w:bCs/>
          <w:i w:val="false"/>
          <w:iCs w:val="false"/>
          <w:color w:val="000000"/>
          <w:sz w:val="24"/>
          <w:szCs w:val="24"/>
        </w:rPr>
        <w:t>DEFERIMENTO</w:t>
      </w:r>
      <w:r>
        <w:rPr>
          <w:rFonts w:cs="Arial" w:ascii="Cambria" w:hAnsi="Cambria"/>
          <w:i w:val="false"/>
          <w:iCs w:val="false"/>
          <w:color w:val="000000"/>
          <w:sz w:val="24"/>
          <w:szCs w:val="24"/>
        </w:rPr>
        <w:t xml:space="preserve"> do registro.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2</Pages>
  <Words>326</Words>
  <Characters>1711</Characters>
  <CharactersWithSpaces>2024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2023-06-06T14:57:26Z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