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 w:val="false"/>
          <w:bCs w:val="false"/>
          <w:i w:val="false"/>
          <w:iCs w:val="false"/>
          <w:sz w:val="24"/>
          <w:szCs w:val="24"/>
        </w:rPr>
        <w:t xml:space="preserve">O </w:t>
      </w:r>
      <w:r>
        <w:rPr>
          <w:rFonts w:cs="Verdana" w:ascii="Cambria" w:hAnsi="Cambria"/>
          <w:b/>
          <w:sz w:val="24"/>
          <w:szCs w:val="24"/>
        </w:rPr>
        <w:t>MINISTÉRIO PÚBLICO ELEITORAL</w:t>
      </w:r>
      <w:r>
        <w:rPr>
          <w:rFonts w:cs="Verdana" w:ascii="Cambria" w:hAnsi="Cambria"/>
          <w:sz w:val="24"/>
          <w:szCs w:val="24"/>
        </w:rPr>
        <w:t xml:space="preserve">, por seu órgão infra-assinado, vem à presença de Vossa Excelência propor, com fundamento no artigo 36, § 3.º, c/c o artigo 39, § 8.º, da Lei n.º 9.504/97, e na forma dos artigos 96, da Lei n.º 9.504/97 e 3.º e seguintes, da Resolução TSE n.º 23.608/19, a presente </w:t>
      </w:r>
      <w:r>
        <w:rPr>
          <w:rFonts w:cs="Verdana" w:ascii="Cambria" w:hAnsi="Cambria"/>
          <w:b/>
          <w:shadow/>
          <w:sz w:val="24"/>
          <w:szCs w:val="24"/>
        </w:rPr>
        <w:t xml:space="preserve">REPRESENTAÇÃO </w:t>
      </w:r>
      <w:r>
        <w:rPr>
          <w:rFonts w:cs="Verdana" w:ascii="Cambria" w:hAnsi="Cambria"/>
          <w:sz w:val="24"/>
          <w:szCs w:val="24"/>
        </w:rPr>
        <w:t xml:space="preserve">em face de </w:t>
      </w:r>
      <w:r>
        <w:rPr>
          <w:rFonts w:cs="Verdana" w:ascii="Cambria" w:hAnsi="Cambria"/>
          <w:b/>
          <w:sz w:val="24"/>
          <w:szCs w:val="24"/>
        </w:rPr>
        <w:t>________</w:t>
      </w:r>
      <w:r>
        <w:rPr>
          <w:rFonts w:cs="Verdana" w:ascii="Cambria" w:hAnsi="Cambria"/>
          <w:sz w:val="24"/>
          <w:szCs w:val="24"/>
        </w:rPr>
        <w:t xml:space="preserve">, candidato ao cargo de </w:t>
      </w:r>
      <w:r>
        <w:rPr>
          <w:rFonts w:cs="Verdana" w:ascii="Cambria" w:hAnsi="Cambria"/>
          <w:b/>
          <w:sz w:val="24"/>
          <w:szCs w:val="24"/>
        </w:rPr>
        <w:t>________</w:t>
      </w:r>
      <w:r>
        <w:rPr>
          <w:rFonts w:cs="Verdana" w:ascii="Cambria" w:hAnsi="Cambria"/>
          <w:sz w:val="24"/>
          <w:szCs w:val="24"/>
        </w:rPr>
        <w:t>, com endereço à rua ______</w:t>
      </w:r>
      <w:r>
        <w:rPr>
          <w:rFonts w:cs="Verdana" w:ascii="Cambria" w:hAnsi="Cambria"/>
          <w:b/>
          <w:sz w:val="24"/>
          <w:szCs w:val="24"/>
        </w:rPr>
        <w:t xml:space="preserve">, </w:t>
      </w:r>
      <w:r>
        <w:rPr>
          <w:rFonts w:cs="Verdana" w:ascii="Cambria" w:hAnsi="Cambria"/>
          <w:sz w:val="24"/>
          <w:szCs w:val="24"/>
        </w:rPr>
        <w:t>pelas razões de fato e de direito a seguir expostas.</w:t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Ttulo2"/>
        <w:spacing w:lineRule="atLeast" w:line="360" w:before="120" w:after="0"/>
        <w:jc w:val="left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1. dos fatos</w:t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Consta dos inclusos documentos que o então pretenso candidato ora representado fez constar em OUTDOOR mensagens que indicam de forma dissimulada propaganda eleitoral.</w:t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57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Inegável a pretensão do representado em se apresentar como candidato à prefeitura de _________, apesar de ainda não efetivado o devido registro de candidaturas.</w:t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57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 xml:space="preserve">A mensagem constante do OUTDOOR elenca o nome e o partido ao qual pertence, e de forma sub-reptícia induz o eleitor a acreditar que aquele pré-candidato é o mais preparado, Senão vejamos o que diz a mensagem “____________”. </w:t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57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 xml:space="preserve">Sabe-se que o pedido expresso de voto, mesmo que permitido fosse, não seria praticado pelos pré-candidatos. É exatamente na forma dissimulada que ele se apresenta. Isso se dá com a utilização de metáforas, adjetivos, expressões que indicam superioridade ou quaisquer outros mecanismos semióticos que induzam o eleitor a crer que aquela pessoa é a melhor opção. </w:t>
      </w:r>
    </w:p>
    <w:p>
      <w:pPr>
        <w:pStyle w:val="CorpodeTexto"/>
        <w:spacing w:lineRule="atLeast" w:line="360" w:before="120" w:after="0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Ttulo2"/>
        <w:spacing w:lineRule="atLeast" w:line="360" w:before="120" w:after="0"/>
        <w:jc w:val="left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2. DO DIREITO</w:t>
      </w:r>
    </w:p>
    <w:p>
      <w:pPr>
        <w:pStyle w:val="Corpodotexto"/>
        <w:spacing w:lineRule="atLeast" w:line="360" w:before="120" w:after="0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Percebe-se que, no caso específico, houve dupla infração da legislação eleitoral, cujas sanções possuem naturezas jurídicas distintas, senão vejamos.</w:t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Por se tratar se propaganda ocorrida antes do período permitidos, subsiste a violação do que dispõe a Lei 9.504/97 em seu art. 36, in verbis:</w:t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b w:val="false"/>
          <w:i w:val="false"/>
          <w:caps w:val="false"/>
          <w:smallCaps w:val="false"/>
          <w:color w:val="auto"/>
          <w:spacing w:val="0"/>
          <w:sz w:val="22"/>
          <w:szCs w:val="22"/>
          <w:highlight w:val="white"/>
          <w:lang w:val="pt-BR" w:eastAsia="zh-CN" w:bidi="hi-IN"/>
        </w:rPr>
        <w:t>Art. 36.  A propaganda eleitoral somente é permitida após o dia 15 de agosto do ano da eleição.  </w:t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b w:val="false"/>
          <w:i w:val="false"/>
          <w:caps w:val="false"/>
          <w:smallCaps w:val="false"/>
          <w:color w:val="auto"/>
          <w:spacing w:val="0"/>
          <w:sz w:val="22"/>
          <w:szCs w:val="22"/>
          <w:highlight w:val="white"/>
          <w:lang w:val="pt-BR" w:eastAsia="zh-CN" w:bidi="hi-IN"/>
        </w:rPr>
        <w:t>(...)</w:t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2268" w:right="0" w:hanging="0"/>
        <w:jc w:val="both"/>
        <w:rPr>
          <w:sz w:val="22"/>
          <w:szCs w:val="22"/>
        </w:rPr>
      </w:pPr>
      <w:bookmarkStart w:id="0" w:name="art36%2525C2%2525A73"/>
      <w:bookmarkEnd w:id="0"/>
      <w:r>
        <w:rPr>
          <w:rFonts w:eastAsia="Times New Roman" w:cs="Verdana" w:ascii="Cambria" w:hAnsi="Cambria"/>
          <w:b w:val="false"/>
          <w:i w:val="false"/>
          <w:caps w:val="false"/>
          <w:smallCaps w:val="false"/>
          <w:color w:val="auto"/>
          <w:spacing w:val="0"/>
          <w:sz w:val="22"/>
          <w:szCs w:val="22"/>
          <w:highlight w:val="white"/>
          <w:lang w:val="pt-BR" w:eastAsia="zh-CN" w:bidi="hi-IN"/>
        </w:rPr>
        <w:t>§ 3</w:t>
      </w:r>
      <w:r>
        <w:rPr>
          <w:rFonts w:eastAsia="Times New Roman" w:cs="Verdana" w:ascii="Cambria" w:hAnsi="Cambria"/>
          <w:b w:val="false"/>
          <w:i w:val="false"/>
          <w:caps w:val="false"/>
          <w:smallCaps w:val="false"/>
          <w:color w:val="auto"/>
          <w:spacing w:val="0"/>
          <w:position w:val="8"/>
          <w:sz w:val="22"/>
          <w:szCs w:val="22"/>
          <w:highlight w:val="white"/>
          <w:u w:val="single"/>
          <w:lang w:val="pt-BR" w:eastAsia="zh-CN" w:bidi="hi-IN"/>
        </w:rPr>
        <w:t>o</w:t>
      </w:r>
      <w:r>
        <w:rPr>
          <w:rFonts w:eastAsia="Times New Roman" w:cs="Verdana" w:ascii="Cambria" w:hAnsi="Cambria"/>
          <w:b w:val="false"/>
          <w:i w:val="false"/>
          <w:caps w:val="false"/>
          <w:smallCaps w:val="false"/>
          <w:color w:val="auto"/>
          <w:spacing w:val="0"/>
          <w:sz w:val="22"/>
          <w:szCs w:val="22"/>
          <w:highlight w:val="white"/>
          <w:lang w:val="pt-BR" w:eastAsia="zh-CN" w:bidi="hi-IN"/>
        </w:rPr>
        <w:t>  A violação do disposto neste artigo sujeitará o responsável pela divulgação da propaganda e, quando comprovado o seu prévio conhecimento, o beneficiário à multa no valor de R$ 5.000,00 (cinco mil reais) a R$ 25.000,00 (vinte e cinco mil reais), ou ao equivalente ao custo da propaganda, se este for maior.        </w:t>
      </w:r>
    </w:p>
    <w:p>
      <w:pPr>
        <w:pStyle w:val="Corpodotexto"/>
        <w:spacing w:lineRule="atLeast" w:line="360" w:before="120" w:after="0"/>
        <w:rPr>
          <w:rFonts w:ascii="Cambria" w:hAnsi="Cambria" w:eastAsia="Times New Roman" w:cs="Verdana"/>
          <w:color w:val="auto"/>
          <w:sz w:val="20"/>
          <w:szCs w:val="20"/>
          <w:lang w:val="pt-BR" w:eastAsia="zh-CN" w:bidi="hi-IN"/>
        </w:rPr>
      </w:pPr>
      <w:r>
        <w:rPr>
          <w:rFonts w:eastAsia="Times New Roman" w:cs="Verdana" w:ascii="Cambria" w:hAnsi="Cambria"/>
          <w:color w:val="auto"/>
          <w:sz w:val="20"/>
          <w:szCs w:val="20"/>
          <w:lang w:val="pt-BR" w:eastAsia="zh-CN" w:bidi="hi-IN"/>
        </w:rPr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Nos termos do § 8.º, art. 39, da mesma Lei Eleitoral, temos que: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val="pt-BR" w:eastAsia="zh-CN" w:bidi="hi-IN"/>
        </w:rPr>
        <w:t>Art. 39. A realização de qualquer ato de propaganda partidária ou eleitoral, em recinto aberto ou fechado, não depende de licença da polícia.</w:t>
      </w: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 xml:space="preserve"> 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(…)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b w:val="false"/>
          <w:i w:val="false"/>
          <w:caps w:val="false"/>
          <w:smallCaps w:val="false"/>
          <w:color w:val="auto"/>
          <w:spacing w:val="0"/>
          <w:sz w:val="22"/>
          <w:szCs w:val="22"/>
          <w:highlight w:val="white"/>
          <w:lang w:val="pt-BR" w:eastAsia="zh-CN" w:bidi="hi-IN"/>
        </w:rPr>
        <w:t>§ 8</w:t>
      </w:r>
      <w:r>
        <w:rPr>
          <w:rFonts w:eastAsia="Times New Roman" w:cs="Verdana" w:ascii="Cambria" w:hAnsi="Cambria"/>
          <w:b w:val="false"/>
          <w:i w:val="false"/>
          <w:caps w:val="false"/>
          <w:smallCaps w:val="false"/>
          <w:color w:val="auto"/>
          <w:spacing w:val="0"/>
          <w:position w:val="8"/>
          <w:sz w:val="22"/>
          <w:szCs w:val="22"/>
          <w:highlight w:val="white"/>
          <w:u w:val="single"/>
          <w:lang w:val="pt-BR" w:eastAsia="zh-CN" w:bidi="hi-IN"/>
        </w:rPr>
        <w:t>o</w:t>
      </w:r>
      <w:r>
        <w:rPr>
          <w:rFonts w:cs="Verdana" w:ascii="Cambria" w:hAnsi="Cambria"/>
          <w:sz w:val="22"/>
          <w:szCs w:val="22"/>
        </w:rPr>
        <w:t xml:space="preserve"> É vedada a propaganda eleitoral mediante </w:t>
      </w:r>
      <w:r>
        <w:rPr>
          <w:rFonts w:cs="Verdana" w:ascii="Cambria" w:hAnsi="Cambria"/>
          <w:b/>
          <w:sz w:val="22"/>
          <w:szCs w:val="22"/>
        </w:rPr>
        <w:t>outdoors</w:t>
      </w:r>
      <w:r>
        <w:rPr>
          <w:rFonts w:cs="Verdana" w:ascii="Cambria" w:hAnsi="Cambria"/>
          <w:sz w:val="22"/>
          <w:szCs w:val="22"/>
        </w:rPr>
        <w:t xml:space="preserve">, inclusive eletrônicos, sujeitando-se a empresa responsável, os partidos, as coligações e os candidatos à imediata retirada da propaganda irregular e ao pagamento de multa no valor de R$ 5.000,00 (cinco mil reais) a R$ 15.000,00 (quinze mil reais). </w:t>
      </w:r>
    </w:p>
    <w:p>
      <w:pPr>
        <w:pStyle w:val="Citao1"/>
        <w:spacing w:lineRule="atLeast" w:line="360" w:before="120" w:after="0"/>
        <w:rPr>
          <w:rFonts w:ascii="Cambria" w:hAnsi="Cambria" w:cs="Verdana"/>
          <w:sz w:val="20"/>
        </w:rPr>
      </w:pPr>
      <w:r>
        <w:rPr>
          <w:rFonts w:cs="Verdana" w:ascii="Cambria" w:hAnsi="Cambria"/>
          <w:sz w:val="20"/>
        </w:rPr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De acordo com tais dispositivos, é vedada a veiculação de propaganda em OUTDOOR.</w:t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No caso dos autos, como visto, houve a fixação de propaganda eleitoral (</w:t>
      </w:r>
      <w:r>
        <w:rPr>
          <w:rFonts w:cs="Verdana" w:ascii="Cambria" w:hAnsi="Cambria"/>
          <w:b/>
          <w:bCs/>
          <w:sz w:val="24"/>
          <w:szCs w:val="24"/>
        </w:rPr>
        <w:t>antecipada inclusive</w:t>
      </w:r>
      <w:r>
        <w:rPr>
          <w:rFonts w:cs="Verdana" w:ascii="Cambria" w:hAnsi="Cambria"/>
          <w:sz w:val="24"/>
          <w:szCs w:val="24"/>
        </w:rPr>
        <w:t>) por meio de OUTDOOR, mesmo que não tenha havido o pedido expresso de voto. Nesse sentido, o Tribunal Superior Eleitoral assentou:</w:t>
      </w:r>
    </w:p>
    <w:p>
      <w:pPr>
        <w:pStyle w:val="Corpodotexto"/>
        <w:spacing w:lineRule="atLeast" w:line="360" w:before="120" w:after="0"/>
        <w:rPr>
          <w:rFonts w:ascii="Cambria" w:hAnsi="Cambria" w:cs="Verdana"/>
          <w:sz w:val="22"/>
        </w:rPr>
      </w:pPr>
      <w:r>
        <w:rPr>
          <w:rFonts w:cs="Verdana" w:ascii="Cambria" w:hAnsi="Cambria"/>
          <w:sz w:val="22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120" w:after="0"/>
        <w:ind w:left="2268" w:right="0" w:hanging="0"/>
        <w:jc w:val="both"/>
        <w:rPr>
          <w:rFonts w:ascii="Cambria" w:hAnsi="Cambria"/>
        </w:rPr>
      </w:pPr>
      <w:r>
        <w:rPr>
          <w:rFonts w:eastAsia="Times New Roman" w:cs="Verdana" w:ascii="Cambria" w:hAnsi="Cambria"/>
          <w:color w:val="auto"/>
          <w:sz w:val="20"/>
          <w:szCs w:val="20"/>
          <w:lang w:val="pt-BR" w:eastAsia="zh-CN" w:bidi="hi-IN"/>
        </w:rPr>
        <w:t xml:space="preserve">ELEIÇÕES 2018. EMBARGOS DE DECLARAÇÃO. DECISÃO MONOCRÁTICA. PEDIDO DE CONCESSÃO DE EFEITOS MODIFICATIVOS. RECEBIMENTO COMO </w:t>
      </w: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 xml:space="preserve">AGRAVO REGIMENTAL. RECURSO ESPECIAL. REPRESENTAÇÃO. </w:t>
      </w:r>
      <w:r>
        <w:rPr>
          <w:rFonts w:eastAsia="Times New Roman" w:cs="Verdana" w:ascii="Cambria" w:hAnsi="Cambria"/>
          <w:b/>
          <w:bCs/>
          <w:color w:val="auto"/>
          <w:sz w:val="22"/>
          <w:szCs w:val="22"/>
          <w:lang w:val="pt-BR" w:eastAsia="zh-CN" w:bidi="hi-IN"/>
        </w:rPr>
        <w:t>PROPAGANDA ELEITORAL ANTECIPADA. OUTDOORS. MENSAGEM DE DIVULGAÇÃO DE PROGRAMA RADIOFÔNICO DO CANDIDATO. MEIO VEDADO. INTERPRETAÇÃO LÓGICA DO SISTEMA ELEITORAL. APLICABILIDADE DAS RESTRIÇÕES IMPOSTAS À PROPAGANDA ELEITORAL AOS ATOS DE PRÉ–CAMPANHA.</w:t>
      </w: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 xml:space="preserve"> PRECEDENTE. REFORMA DO ACÓRDÃO REGIONAL. DESPROVIMENTO.</w:t>
      </w:r>
    </w:p>
    <w:p>
      <w:pPr>
        <w:pStyle w:val="Corpodotexto"/>
        <w:widowControl w:val="false"/>
        <w:suppressAutoHyphens w:val="true"/>
        <w:bidi w:val="0"/>
        <w:spacing w:lineRule="auto" w:line="24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(...)</w:t>
      </w:r>
    </w:p>
    <w:p>
      <w:pPr>
        <w:pStyle w:val="Corpodotexto"/>
        <w:widowControl w:val="false"/>
        <w:suppressAutoHyphens w:val="true"/>
        <w:bidi w:val="0"/>
        <w:spacing w:lineRule="auto" w:line="24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2. In casu, consta da moldura fática delineada no voto condutor do acórdão regional que o ora agravante, à época pré–candidato nas eleições gerais de 2018, veiculou, no mês de junho de 2018, por meio de outdoors, a seguinte mensagem: "</w:t>
      </w:r>
      <w:r>
        <w:rPr>
          <w:rFonts w:eastAsia="Times New Roman" w:cs="Verdana" w:ascii="Cambria" w:hAnsi="Cambria"/>
          <w:i/>
          <w:iCs/>
          <w:color w:val="auto"/>
          <w:sz w:val="22"/>
          <w:szCs w:val="22"/>
          <w:lang w:val="pt-BR" w:eastAsia="zh-CN" w:bidi="hi-IN"/>
        </w:rPr>
        <w:t>com o âncora Marcos Medrado – Unindo Forças Por Um Recôncavo Melhor – Programa Ligação Direta – Valença FM 101,9</w:t>
      </w: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" (ID nº 326492).</w:t>
      </w:r>
    </w:p>
    <w:p>
      <w:pPr>
        <w:pStyle w:val="Corpodotexto"/>
        <w:widowControl w:val="false"/>
        <w:suppressAutoHyphens w:val="true"/>
        <w:bidi w:val="0"/>
        <w:spacing w:lineRule="auto" w:line="24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3. A Corte Regional, amparada em julgados desta Corte Superior referentes ao pleito de 2016, entendeu que não houve ilícito eleitoral no referido ato, uma vez que inexistente o pedido explícito de votos, nos temos do art. 36–A da Lei nº 9.504/97.</w:t>
      </w:r>
    </w:p>
    <w:p>
      <w:pPr>
        <w:pStyle w:val="Corpodotexto"/>
        <w:widowControl w:val="false"/>
        <w:suppressAutoHyphens w:val="true"/>
        <w:bidi w:val="0"/>
        <w:spacing w:lineRule="auto" w:line="24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 xml:space="preserve">4. Para o pleito de 2018, este Tribunal Superior, na sessão do dia 9.4.2019, ao concluir o julgamento do REspe nº 0600227–31.2018.6.17.0000, de relatoria do Ministro Edson Fachin, assentou a ilicitude de atos de pré–campanha em meios proibidos para a prática de atos de campanha eleitoral, de modo que "a realização de atos de pré–campanha, por meio de outdoors, importa em ofensa ao art. 39, § 8º, da Lei nº 9.504/97 e desafia a imposição de multa, </w:t>
      </w:r>
      <w:r>
        <w:rPr>
          <w:rFonts w:eastAsia="Times New Roman" w:cs="Verdana" w:ascii="Cambria" w:hAnsi="Cambria"/>
          <w:b/>
          <w:bCs/>
          <w:color w:val="auto"/>
          <w:sz w:val="22"/>
          <w:szCs w:val="22"/>
          <w:lang w:val="pt-BR" w:eastAsia="zh-CN" w:bidi="hi-IN"/>
        </w:rPr>
        <w:t>independentemente da existência de pedido explícito de voto</w:t>
      </w: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".</w:t>
      </w:r>
    </w:p>
    <w:p>
      <w:pPr>
        <w:pStyle w:val="Corpodotexto"/>
        <w:widowControl w:val="false"/>
        <w:suppressAutoHyphens w:val="true"/>
        <w:bidi w:val="0"/>
        <w:spacing w:lineRule="auto" w:line="24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(…)</w:t>
      </w:r>
    </w:p>
    <w:p>
      <w:pPr>
        <w:pStyle w:val="Corpodotexto"/>
        <w:widowControl w:val="false"/>
        <w:suppressAutoHyphens w:val="true"/>
        <w:bidi w:val="0"/>
        <w:spacing w:lineRule="auto" w:line="24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7. Embargos de declaração recebidos como agravo regimental, ao qual se nega provimento.</w:t>
      </w:r>
    </w:p>
    <w:p>
      <w:pPr>
        <w:pStyle w:val="Corpodotexto"/>
        <w:widowControl w:val="false"/>
        <w:suppressAutoHyphens w:val="true"/>
        <w:bidi w:val="0"/>
        <w:spacing w:lineRule="auto" w:line="240" w:before="120" w:after="0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Verdana" w:ascii="Cambria" w:hAnsi="Cambria"/>
          <w:color w:val="auto"/>
          <w:sz w:val="22"/>
          <w:szCs w:val="22"/>
          <w:lang w:val="pt-BR" w:eastAsia="zh-CN" w:bidi="hi-IN"/>
        </w:rPr>
        <w:t>(Recurso Especial Eleitoral nº 060045369, Acórdão, Relator(a) Min. Tarcisio Vieira De Carvalho Neto, Publicação:  DJE - Diário de justiça eletrônico, Tomo 164, Data 26/08/2019)</w:t>
      </w:r>
    </w:p>
    <w:p>
      <w:pPr>
        <w:pStyle w:val="Corpodotexto"/>
        <w:spacing w:lineRule="atLeast" w:line="360" w:before="120" w:after="0"/>
        <w:rPr>
          <w:rFonts w:ascii="Cambria" w:hAnsi="Cambria" w:eastAsia="Times New Roman" w:cs="Verdana"/>
          <w:color w:val="auto"/>
          <w:sz w:val="22"/>
          <w:szCs w:val="20"/>
          <w:lang w:val="pt-BR" w:eastAsia="zh-CN" w:bidi="hi-IN"/>
        </w:rPr>
      </w:pPr>
      <w:r>
        <w:rPr>
          <w:rFonts w:eastAsia="Times New Roman" w:cs="Verdana" w:ascii="Cambria" w:hAnsi="Cambria"/>
          <w:color w:val="auto"/>
          <w:sz w:val="22"/>
          <w:szCs w:val="20"/>
          <w:lang w:val="pt-BR" w:eastAsia="zh-CN" w:bidi="hi-IN"/>
        </w:rPr>
      </w:r>
    </w:p>
    <w:p>
      <w:pPr>
        <w:pStyle w:val="Ttulo2"/>
        <w:spacing w:lineRule="atLeast" w:line="360" w:before="120" w:after="0"/>
        <w:jc w:val="left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3. DO PEDIDO</w:t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b w:val="false"/>
          <w:b w:val="false"/>
          <w:bCs w:val="false"/>
        </w:rPr>
      </w:pPr>
      <w:r>
        <w:rPr>
          <w:rFonts w:cs="Verdana" w:ascii="Cambria" w:hAnsi="Cambria"/>
          <w:b w:val="false"/>
          <w:bCs w:val="false"/>
          <w:color w:val="000000"/>
          <w:sz w:val="24"/>
          <w:szCs w:val="24"/>
        </w:rPr>
        <w:t>Por todo o exposto, requer-se a imediata retirada da dita propaganda, bem como a notificação de ------, na forma prevista no art. 96, § 5.º, da Lei n.º 9.504/97 e no art. 3.º e seguintes, da Resolução TSE n.º 23.608/19 para, querendo, apresente defesa à presente representação, que se aguarda seja</w:t>
      </w:r>
      <w:r>
        <w:rPr>
          <w:rFonts w:cs="Verdana" w:ascii="Cambria" w:hAnsi="Cambria"/>
          <w:b/>
          <w:bCs/>
          <w:color w:val="000000"/>
          <w:sz w:val="24"/>
          <w:szCs w:val="24"/>
        </w:rPr>
        <w:t xml:space="preserve"> julgada procedente</w:t>
      </w:r>
      <w:r>
        <w:rPr>
          <w:rFonts w:cs="Verdana" w:ascii="Cambria" w:hAnsi="Cambria"/>
          <w:b w:val="false"/>
          <w:bCs w:val="false"/>
          <w:color w:val="000000"/>
          <w:sz w:val="24"/>
          <w:szCs w:val="24"/>
        </w:rPr>
        <w:t>, reconhecendo-se a prática de propaganda eleitoral irregular, condenando-se o representado à sanções previstas cumulativamente no § 8.º do art. 39, da Lei 9.504/97, bem como no § 3.º do art. 36, da mesma Lei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qFormat/>
    <w:rPr>
      <w:color w:val="000080"/>
      <w:u w:val="single"/>
      <w:lang w:val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widowControl w:val="false"/>
      <w:spacing w:lineRule="auto" w:line="360" w:before="0" w:after="120"/>
      <w:ind w:left="0" w:right="0" w:firstLine="2268"/>
      <w:jc w:val="both"/>
    </w:pPr>
    <w:rPr/>
  </w:style>
  <w:style w:type="paragraph" w:styleId="Ttulo2">
    <w:name w:val="título"/>
    <w:basedOn w:val="CorpodeTexto"/>
    <w:next w:val="Corpodo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 w:before="120" w:after="360"/>
      <w:ind w:left="0" w:right="0" w:hanging="0"/>
      <w:jc w:val="center"/>
    </w:pPr>
    <w:rPr>
      <w:b/>
      <w:caps/>
    </w:rPr>
  </w:style>
  <w:style w:type="paragraph" w:styleId="Citao">
    <w:name w:val="citação"/>
    <w:basedOn w:val="CorpodeTexto"/>
    <w:qFormat/>
    <w:pPr>
      <w:widowControl/>
      <w:spacing w:lineRule="auto" w:line="240"/>
      <w:ind w:left="1701" w:right="0" w:hanging="0"/>
    </w:pPr>
    <w:rPr>
      <w:sz w:val="22"/>
    </w:rPr>
  </w:style>
  <w:style w:type="paragraph" w:styleId="Citao1">
    <w:name w:val="Citação"/>
    <w:basedOn w:val="Normal"/>
    <w:qFormat/>
    <w:pPr>
      <w:spacing w:before="0" w:after="120"/>
      <w:ind w:left="1701" w:right="0" w:hanging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4</Pages>
  <Words>870</Words>
  <Characters>4601</Characters>
  <CharactersWithSpaces>5451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2023-06-07T20:09:59Z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