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RECOMENDAÇÃO 003/2022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MINISTÉRIO PÚBLICO DO ESTADO DO TOCANTINS</w:t>
      </w:r>
      <w:r w:rsidDel="00000000" w:rsidR="00000000" w:rsidRPr="00000000">
        <w:rPr>
          <w:rtl w:val="0"/>
        </w:rPr>
        <w:t xml:space="preserve">, por seu membro adiante assinado, nos autos do </w:t>
      </w:r>
      <w:r w:rsidDel="00000000" w:rsidR="00000000" w:rsidRPr="00000000">
        <w:rPr>
          <w:i w:val="1"/>
          <w:rtl w:val="0"/>
        </w:rPr>
        <w:t xml:space="preserve">Inquérito Civil Público nº 2019.0001775</w:t>
      </w:r>
      <w:r w:rsidDel="00000000" w:rsidR="00000000" w:rsidRPr="00000000">
        <w:rPr>
          <w:rtl w:val="0"/>
        </w:rPr>
        <w:t xml:space="preserve">, no uso das atribuições que lhe são conferidas pelos Art. 129, IX, da Constituição Federal de 1988 (CRFB/88), bem como pelo Art. 201, VIII e §§ 2º e 5º, “c”, da Lei nº 8.069/90 (Estatuto da Criança e do Adolescente), e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que incumbe ao Ministério Público a defesa da ordem jurídica, do regime democrático, dos interesses sociais e individuais indisponíveis na forma do Art. 127, </w:t>
      </w:r>
      <w:r w:rsidDel="00000000" w:rsidR="00000000" w:rsidRPr="00000000">
        <w:rPr>
          <w:i w:val="1"/>
          <w:rtl w:val="0"/>
        </w:rPr>
        <w:t xml:space="preserve">caput</w:t>
      </w:r>
      <w:r w:rsidDel="00000000" w:rsidR="00000000" w:rsidRPr="00000000">
        <w:rPr>
          <w:rtl w:val="0"/>
        </w:rPr>
        <w:t xml:space="preserve">, da Constituição da República;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ser função institucional do Ministério Público zelar pelo efetivo respeito dos Poderes Públicos e dos serviços de relevância pública aos direitos assegurados na Constituição, promovendo as medidas necessárias à sua garantia, nos exatos termos do Art. 129, II, da (CRFB/88);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que a proteção integral à criança e ao adolescente exige não só a implantação do CMDCA e do Conselho Tutelar, mas também de políticas públicas voltadas para aquele público, inclusive com destinação prioritária de recursos orçamentários para tanto, conforme Art. 4°, parágrafo único, “d”, da Lei 8.069/90;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que, para uma efetiva atuação do Conselho Tutelar, devem existir os programas de atendimento relativos a medidas protetivas e socioeducativas, cuja implementação compete ao Município;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que o Fundo para Infância e Adolescência – FIA – tem como função precípua destinar recursos para os programas de atendimento supracitados;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que a previsão do art. 4°, parágrafo único, do Estatuto da Criança e do Adolescente diz respeito não só ao FIA, mas também a qualquer verba necessária para o bom funcionamento da rede de proteção infanto juvenil;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que tramita, nesta Promotoria de Justiça, o inquérito civil supracitado para verificar o respeito à política da infância e juventude no município de Silvanópolis, em especial quanto à existência de programas de atendimento e ao funcionamento do FIA;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que o FIA do município de Silvanópolis ainda apresenta inúmeras irregularidades, a despeito das diligências determinadas ao longo deste Inquérito Civil;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RECOMENDAR</w:t>
      </w:r>
      <w:r w:rsidDel="00000000" w:rsidR="00000000" w:rsidRPr="00000000">
        <w:rPr>
          <w:rtl w:val="0"/>
        </w:rPr>
        <w:t xml:space="preserve"> ao Presidente do Conselho Municipal dos Direitos da Criança e do Adolescente – CMDCA que, em até </w:t>
      </w:r>
      <w:r w:rsidDel="00000000" w:rsidR="00000000" w:rsidRPr="00000000">
        <w:rPr>
          <w:b w:val="1"/>
          <w:rtl w:val="0"/>
        </w:rPr>
        <w:t xml:space="preserve">45 (quarenta e cinco) dias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Retifique o cadastro do Fundo para Infância e Adolescência junto ao Ministério da Mulher, da Família e dos Direitos Humanos, de forma a corrigir o nome do titular da conta, que deverá constar como “Fundo para Infância e Adolescência”, e o número da lei municipal que dispõe sobre o Fundo e se encontra atualmente em vigor, uma vez que a lei informada (nº 123/2005) foi revogada em 2017;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Apresente o Plano de Ação e Aplicação de Recursos do FIA, definindo quais projetos e programas de interesse infantojuvenil deverão ser aplicados (o plano de ação consiste em uma deliberação de ordem política, por intermédio da qual o Conselho de Direitos elege os objetivos, metas e diretrizes voltados ao atendimento de crianças e adolescentes, principalmente em situação de risco, para tanto, deve ser feito um diagnóstico da população infantojuvenil do município);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RECOMENDAR</w:t>
      </w:r>
      <w:r w:rsidDel="00000000" w:rsidR="00000000" w:rsidRPr="00000000">
        <w:rPr>
          <w:rtl w:val="0"/>
        </w:rPr>
        <w:t xml:space="preserve"> ao Prefeito Municipal de Silvanópolis que, em até </w:t>
      </w:r>
      <w:r w:rsidDel="00000000" w:rsidR="00000000" w:rsidRPr="00000000">
        <w:rPr>
          <w:b w:val="1"/>
          <w:rtl w:val="0"/>
        </w:rPr>
        <w:t xml:space="preserve">45 (quarenta e cinco) dias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Informe os valores destinados pela Lei Orçamentária Municipal ao FIA de Silvanópolis para os exercícios financeiros de 2021 e 2022, comprovando as respectivas dotações orçamentárias;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Elabore e publique Decreto Municipal que regulamenta o Fundo para Infância e Adolescência;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Elabore e encaminhe à Câmara Municipal projeto de lei que revogue os Arts. 6º e 7º da Lei nº 371/2017, uma vez que não há relação entre o Fundo da Infância e o Fundo da Assistência Social, devendo os referidos artigos ser substituídos por outro(s) que esclareça(m) que: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O Poder Executivo deve designar os servidores públicos que atuarão como gestor e/ou ordenador de despesas do Fundo para Infância e Adolescência, autoridade de cujos atos resultará emissão de empenho, autorização de pagamento, suprimento ou dispêndio de recursos do Fundo.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O órgão responsável pela política de promoção, de proteção, de defesa e de atendimento dos direitos das crianças e dos adolescentes ao qual o Fundo para Infância e Adolescência for vinculado deve ficar responsável pela abertura, em estabelecimento oficial de crédito, de contas específicas destinadas à movimentação das receitas e despesas do Fundo.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Os recursos do Fundo para Infância e Adolescência devem ter um registro próprio, de modo que a disponibilidade de caixa, receita e despesa, fique identificada de forma individualizada e transparente.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 As providências administrativas necessárias à liberação dos recursos, após a deliberação do Conselho, deverão observar o princípio constitucional da prioridade absoluta à criança e ao adolescente, sem prejuízo do efetivo e integral respeito às normas e princípios relativos à administração dos recursos públicos.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 O Gestor do Fundo para Infância e Adolescência, nomeado pelo Poder Executivo deve ser responsável pelos seguintes procedimentos, dentre outros inerentes ao cargo: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e.1)</w:t>
      </w:r>
      <w:r w:rsidDel="00000000" w:rsidR="00000000" w:rsidRPr="00000000">
        <w:rPr>
          <w:rtl w:val="0"/>
        </w:rPr>
        <w:t xml:space="preserve"> coordenar a execução do Plano Anual de Aplicação dos recursos do Fundo para Infância e Adolescência elaborado e aprovado pelo Conselho dos Direitos da Criança e do Adolescente;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e.2)</w:t>
      </w:r>
      <w:r w:rsidDel="00000000" w:rsidR="00000000" w:rsidRPr="00000000">
        <w:rPr>
          <w:rtl w:val="0"/>
        </w:rPr>
        <w:t xml:space="preserve"> executar e acompanhar o ingresso de receitas e o pagamento das despesas do Fundo para Infância e Adolescência;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e.3)</w:t>
      </w:r>
      <w:r w:rsidDel="00000000" w:rsidR="00000000" w:rsidRPr="00000000">
        <w:rPr>
          <w:rtl w:val="0"/>
        </w:rPr>
        <w:t xml:space="preserve"> emitir empenhos, cheques e ordens de pagamento das despesas do Fundo para Infância e Adolescência;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e.4)</w:t>
      </w:r>
      <w:r w:rsidDel="00000000" w:rsidR="00000000" w:rsidRPr="00000000">
        <w:rPr>
          <w:rtl w:val="0"/>
        </w:rPr>
        <w:t xml:space="preserve"> fornecer o comprovante de doação/destinação ao contribuinte, contendo a identificação do órgão do Poder Executivo, endereço e número de inscrição no CNPJ no cabeçalho e, no corpo, o nº de ordem, nome completo do doador/destinador, CPF/CNPJ, endereço, identidade, valor efetivamente recebido, local e data, devidamente firmado em conjunto com o Presidente do Conselho, para dar a quitação da operação;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e.5)</w:t>
      </w:r>
      <w:r w:rsidDel="00000000" w:rsidR="00000000" w:rsidRPr="00000000">
        <w:rPr>
          <w:rtl w:val="0"/>
        </w:rPr>
        <w:t xml:space="preserve"> encaminhar à Secretaria da Receita Federal a Declaração de Benefícios Fiscais (DBF), por intermédio da Internet, até o último dia útil do mês de março, em relação ao ano calendário anterior;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e.6)</w:t>
      </w:r>
      <w:r w:rsidDel="00000000" w:rsidR="00000000" w:rsidRPr="00000000">
        <w:rPr>
          <w:rtl w:val="0"/>
        </w:rPr>
        <w:t xml:space="preserve"> comunicar obrigatoriamente aos contribuintes, até o último dia útil do mês de março a efetiva apresentação da Declaração de Benefícios Fiscais (DBF), da qual conste, obrigatoriamente o nome ou razão social, CPF do contribuinte ou CNPJ, data e valor destinado;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e.7)</w:t>
      </w:r>
      <w:r w:rsidDel="00000000" w:rsidR="00000000" w:rsidRPr="00000000">
        <w:rPr>
          <w:rtl w:val="0"/>
        </w:rPr>
        <w:t xml:space="preserve"> apresentar, trimestralmente ou quando solicitada pelo Conselho dos Direitos da Criança e do Adolescente, a análise e avaliação da situação econômico-financeira do Fundo para Infância e Adolescência, através de balancetes e relatórios de gestão;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e.8)</w:t>
      </w:r>
      <w:r w:rsidDel="00000000" w:rsidR="00000000" w:rsidRPr="00000000">
        <w:rPr>
          <w:rtl w:val="0"/>
        </w:rPr>
        <w:t xml:space="preserve"> manter arquivados, pelo prazo previsto em lei, os documentos comprobatórios da movimentação das receitas e despesas do Fundo, para fins de acompanhamento e fiscalização;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e.9)</w:t>
      </w:r>
      <w:r w:rsidDel="00000000" w:rsidR="00000000" w:rsidRPr="00000000">
        <w:rPr>
          <w:rtl w:val="0"/>
        </w:rPr>
        <w:t xml:space="preserve"> observar, quando do desempenho de suas atribuições, o princípio da prioridade absoluta à criança e ao adolescente, conforme disposto no art. 4º, caput e parágrafo único, alínea b, da Lei nº 8.069 de 1990 e art. 227, caput, da Constituição Federal; e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e.10)</w:t>
      </w:r>
      <w:r w:rsidDel="00000000" w:rsidR="00000000" w:rsidRPr="00000000">
        <w:rPr>
          <w:rtl w:val="0"/>
        </w:rPr>
        <w:t xml:space="preserve"> deverá ser emitido um comprovante para cada doador, mediante a apresentação de documento que comprove o depósito bancário em favor do Fundo, ou de documentação de propriedade, hábil e idônea, em se tratando de doação de bens.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Ainda quanto à Lei Municipal nº 371/2017, em atenção ao princípio da publicidade e transparência, que o mencionado projeto de lei também insira um inciso ao Art. 17, a fim de esclarecer o dever de divulgar amplamente o total das receitas previstas no orçamento do Fundo para cada exercício, conforme Resolução 137/2010 do CONANDA.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Após o cumprimento desta Recomendação, remetam a esta Promotoria de Justiça informações sobre as medidas efetivadas. O não cumprimento desta Recomendação implicará na adoção das medidas judiciais cabíveis à espécie.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 presente </w:t>
      </w:r>
      <w:r w:rsidDel="00000000" w:rsidR="00000000" w:rsidRPr="00000000">
        <w:rPr>
          <w:b w:val="1"/>
          <w:rtl w:val="0"/>
        </w:rPr>
        <w:t xml:space="preserve">RECOMENDAÇÃO</w:t>
      </w:r>
      <w:r w:rsidDel="00000000" w:rsidR="00000000" w:rsidRPr="00000000">
        <w:rPr>
          <w:rtl w:val="0"/>
        </w:rPr>
        <w:t xml:space="preserve">, sejam remetidas cópias aos seguintes órgãos/autoridades: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01. Prefeito Municipal de Silvanópolis, para ciência e adoção das providências necessárias;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02. Presidente do Conselho Municipal dos Direitos da Criança e do Adolescente – CMDCA, para ciência e adoção das providências necessárias;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03. Secretaria Municipal de Assistência Social de Silvanópolis, para ciência;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04. Conselho Tutelar de Silvanópolis, para ciência;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05. Conselho Superior do Ministério Público do Tocantins, para ciência e divulgação entre as autoridades que o integram;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06. Secretaria Geral do Ministério Público do Tocantins, para fins de publicação no Diário Oficial do Ministério Público;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07. Centro de Apoio Operacional às Promotorias da Infância e Juventude, para ciência;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08. Assessoria de Imprensa do MPTO, para divulgação entre os principais meios midiáticos,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Publique-se. Registre-se. Cumpra-se.</w:t>
      </w:r>
    </w:p>
    <w:p w:rsidR="00000000" w:rsidDel="00000000" w:rsidP="00000000" w:rsidRDefault="00000000" w:rsidRPr="00000000" w14:paraId="0000002E">
      <w:pPr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LUIZ FRANCISCO DE OLIVEIRA</w:t>
      </w:r>
    </w:p>
    <w:p w:rsidR="00000000" w:rsidDel="00000000" w:rsidP="00000000" w:rsidRDefault="00000000" w:rsidRPr="00000000" w14:paraId="0000002F">
      <w:pPr>
        <w:spacing w:after="0" w:before="0" w:line="360" w:lineRule="auto"/>
        <w:jc w:val="center"/>
        <w:rPr/>
      </w:pPr>
      <w:r w:rsidDel="00000000" w:rsidR="00000000" w:rsidRPr="00000000">
        <w:rPr>
          <w:rtl w:val="0"/>
        </w:rPr>
        <w:t xml:space="preserve">PROMOTOR DE JUSTIÇA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(em substituição automática)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tabs>
        <w:tab w:val="center" w:pos="4419"/>
        <w:tab w:val="right" w:pos="8838"/>
      </w:tabs>
      <w:spacing w:line="360" w:lineRule="auto"/>
      <w:jc w:val="center"/>
      <w:rPr>
        <w:rFonts w:ascii="Times New Roman" w:cs="Times New Roman" w:eastAsia="Times New Roman" w:hAnsi="Times New Roman"/>
        <w:b w:val="1"/>
        <w:sz w:val="20"/>
        <w:szCs w:val="20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u w:val="single"/>
      </w:rPr>
      <w:drawing>
        <wp:inline distB="0" distT="0" distL="0" distR="0">
          <wp:extent cx="1242060" cy="56261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5626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pos="4419"/>
        <w:tab w:val="right" w:pos="8838"/>
      </w:tabs>
      <w:spacing w:after="57" w:line="240" w:lineRule="auto"/>
      <w:jc w:val="center"/>
      <w:rPr>
        <w:rFonts w:ascii="Times New Roman" w:cs="Times New Roman" w:eastAsia="Times New Roman" w:hAnsi="Times New Roman"/>
        <w:b w:val="1"/>
        <w:sz w:val="23"/>
        <w:szCs w:val="23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3"/>
        <w:szCs w:val="23"/>
        <w:rtl w:val="0"/>
      </w:rPr>
      <w:t xml:space="preserve">4ª PROMOTORIA DE JUSTIÇA DE PORTO NACIONAL</w:t>
    </w:r>
  </w:p>
  <w:p w:rsidR="00000000" w:rsidDel="00000000" w:rsidP="00000000" w:rsidRDefault="00000000" w:rsidRPr="00000000" w14:paraId="00000034">
    <w:pPr>
      <w:tabs>
        <w:tab w:val="center" w:pos="4419"/>
        <w:tab w:val="right" w:pos="8838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Tutela da Infância e Juventude /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pos="4320"/>
        <w:tab w:val="right" w:pos="8640"/>
      </w:tabs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Anel Viário, Setor Aeroporto, Porto Nacional - Tel.: 3363-1414</w:t>
    </w:r>
  </w:p>
  <w:p w:rsidR="00000000" w:rsidDel="00000000" w:rsidP="00000000" w:rsidRDefault="00000000" w:rsidRPr="00000000" w14:paraId="00000036">
    <w:pPr>
      <w:tabs>
        <w:tab w:val="center" w:pos="4320"/>
        <w:tab w:val="right" w:pos="8640"/>
      </w:tabs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u w:val="single"/>
        <w:rtl w:val="0"/>
      </w:rPr>
      <w:t xml:space="preserve">e-mail: 4pjportonacional@gmail.com</w:t>
    </w:r>
  </w:p>
  <w:p w:rsidR="00000000" w:rsidDel="00000000" w:rsidP="00000000" w:rsidRDefault="00000000" w:rsidRPr="00000000" w14:paraId="00000037">
    <w:pPr>
      <w:tabs>
        <w:tab w:val="center" w:pos="4419"/>
        <w:tab w:val="right" w:pos="8838"/>
      </w:tabs>
      <w:spacing w:line="360" w:lineRule="auto"/>
      <w:jc w:val="center"/>
      <w:rPr>
        <w:rFonts w:ascii="Times New Roman" w:cs="Times New Roman" w:eastAsia="Times New Roman" w:hAnsi="Times New Roman"/>
        <w:b w:val="1"/>
        <w:sz w:val="20"/>
        <w:szCs w:val="20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