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83" w:rsidRDefault="007370C0">
      <w:pPr>
        <w:pStyle w:val="Standard"/>
        <w:ind w:firstLine="708"/>
        <w:jc w:val="center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RECOMENDAÇÃO N.º _____/2024</w:t>
      </w:r>
    </w:p>
    <w:p w:rsidR="002B2083" w:rsidRDefault="002B2083">
      <w:pPr>
        <w:pStyle w:val="Standard"/>
        <w:ind w:firstLine="708"/>
        <w:jc w:val="center"/>
        <w:rPr>
          <w:rFonts w:ascii="Cambria" w:hAnsi="Cambria"/>
          <w:szCs w:val="24"/>
        </w:rPr>
      </w:pPr>
    </w:p>
    <w:p w:rsidR="002B2083" w:rsidRDefault="002B2083">
      <w:pPr>
        <w:pStyle w:val="Standard"/>
        <w:jc w:val="both"/>
        <w:rPr>
          <w:rFonts w:ascii="Cambria" w:hAnsi="Cambria"/>
          <w:szCs w:val="24"/>
        </w:rPr>
      </w:pPr>
    </w:p>
    <w:p w:rsidR="002B2083" w:rsidRDefault="002B2083">
      <w:pPr>
        <w:pStyle w:val="Standard"/>
        <w:jc w:val="both"/>
        <w:rPr>
          <w:rFonts w:ascii="Cambria" w:hAnsi="Cambria"/>
          <w:szCs w:val="24"/>
        </w:rPr>
      </w:pPr>
    </w:p>
    <w:p w:rsidR="002B2083" w:rsidRDefault="002B2083">
      <w:pPr>
        <w:pStyle w:val="Standard"/>
        <w:jc w:val="both"/>
        <w:rPr>
          <w:rFonts w:ascii="Cambria" w:hAnsi="Cambria"/>
          <w:szCs w:val="24"/>
        </w:rPr>
      </w:pPr>
    </w:p>
    <w:p w:rsidR="002B2083" w:rsidRDefault="002B2083">
      <w:pPr>
        <w:pStyle w:val="Standard"/>
        <w:jc w:val="both"/>
        <w:rPr>
          <w:rFonts w:ascii="Cambria" w:hAnsi="Cambria"/>
          <w:szCs w:val="24"/>
        </w:rPr>
      </w:pPr>
    </w:p>
    <w:p w:rsidR="002B2083" w:rsidRDefault="007370C0">
      <w:pPr>
        <w:pStyle w:val="Standard"/>
        <w:spacing w:before="120" w:after="120" w:line="360" w:lineRule="auto"/>
        <w:ind w:firstLine="1701"/>
        <w:jc w:val="both"/>
        <w:rPr>
          <w:rFonts w:ascii="Cambria" w:hAnsi="Cambria"/>
          <w:szCs w:val="24"/>
        </w:rPr>
      </w:pPr>
      <w:r>
        <w:rPr>
          <w:rFonts w:ascii="Cambria" w:hAnsi="Cambria"/>
          <w:color w:val="00000A"/>
          <w:szCs w:val="24"/>
        </w:rPr>
        <w:t xml:space="preserve">O representante do Ministério Público Eleitoral nesta zona, no uso de suas atribuições legais e na forma como dispõem os </w:t>
      </w:r>
      <w:proofErr w:type="spellStart"/>
      <w:r>
        <w:rPr>
          <w:rFonts w:ascii="Cambria" w:hAnsi="Cambria"/>
          <w:color w:val="00000A"/>
          <w:szCs w:val="24"/>
        </w:rPr>
        <w:t>arts</w:t>
      </w:r>
      <w:proofErr w:type="spellEnd"/>
      <w:r>
        <w:rPr>
          <w:rFonts w:ascii="Cambria" w:hAnsi="Cambria"/>
          <w:color w:val="00000A"/>
          <w:szCs w:val="24"/>
        </w:rPr>
        <w:t xml:space="preserve">. 37, § 1º e 127 da Constituição Federal, Lei Complementar Federal nº 75/93; Lei Federal nº </w:t>
      </w:r>
      <w:r>
        <w:rPr>
          <w:rFonts w:ascii="Cambria" w:hAnsi="Cambria"/>
          <w:color w:val="00000A"/>
          <w:szCs w:val="24"/>
        </w:rPr>
        <w:t>8.625/93 (Lei Orgânica Nacional do M</w:t>
      </w:r>
      <w:r>
        <w:rPr>
          <w:rFonts w:ascii="Cambria" w:hAnsi="Cambria"/>
          <w:szCs w:val="24"/>
        </w:rPr>
        <w:t>inistério Público); Lei Federal nº 9.504/97 (Lei das Eleições) e demais disposições legais aplicáveis à espécie, e;</w:t>
      </w:r>
    </w:p>
    <w:p w:rsidR="00A07048" w:rsidRDefault="007370C0" w:rsidP="00A07048">
      <w:pPr>
        <w:pStyle w:val="LO-normal"/>
        <w:spacing w:before="200" w:after="0" w:line="360" w:lineRule="auto"/>
        <w:ind w:firstLine="1701"/>
        <w:jc w:val="both"/>
        <w:rPr>
          <w:rFonts w:asciiTheme="majorHAnsi" w:eastAsia="Cambria" w:hAnsiTheme="majorHAnsi" w:cs="Cambria"/>
          <w:sz w:val="24"/>
        </w:rPr>
      </w:pPr>
      <w:r w:rsidRPr="00A07048">
        <w:rPr>
          <w:rFonts w:ascii="Cambria" w:hAnsi="Cambria"/>
          <w:b/>
          <w:bCs/>
          <w:color w:val="00000A"/>
          <w:sz w:val="24"/>
        </w:rPr>
        <w:t>CONSIDERANDO</w:t>
      </w:r>
      <w:r w:rsidRPr="00A07048">
        <w:rPr>
          <w:rFonts w:ascii="Cambria" w:hAnsi="Cambria"/>
          <w:color w:val="00000A"/>
          <w:sz w:val="24"/>
        </w:rPr>
        <w:t xml:space="preserve"> que </w:t>
      </w:r>
      <w:r w:rsidR="00A07048" w:rsidRPr="00A07048">
        <w:rPr>
          <w:rFonts w:ascii="Cambria" w:eastAsia="Cambria" w:hAnsi="Cambria" w:cs="Cambria"/>
          <w:sz w:val="24"/>
        </w:rPr>
        <w:t xml:space="preserve">a </w:t>
      </w:r>
      <w:r w:rsidR="00A07048" w:rsidRPr="00A07048">
        <w:rPr>
          <w:rFonts w:asciiTheme="majorHAnsi" w:eastAsia="Cambria" w:hAnsiTheme="majorHAnsi" w:cs="Cambria"/>
          <w:sz w:val="24"/>
        </w:rPr>
        <w:t>Emenda</w:t>
      </w:r>
      <w:r w:rsidR="00A07048" w:rsidRPr="0002770D">
        <w:rPr>
          <w:rFonts w:asciiTheme="majorHAnsi" w:eastAsia="Cambria" w:hAnsiTheme="majorHAnsi" w:cs="Cambria"/>
          <w:sz w:val="24"/>
        </w:rPr>
        <w:t xml:space="preserve"> Constitucional nº 111/2021 inseriu os parágrafos 12 e 13 à Constituição Federal, segundo os quais:</w:t>
      </w:r>
    </w:p>
    <w:p w:rsidR="00A07048" w:rsidRDefault="00A07048" w:rsidP="00A07048">
      <w:pPr>
        <w:pStyle w:val="LO-normal"/>
        <w:spacing w:before="200" w:after="0" w:line="360" w:lineRule="auto"/>
        <w:ind w:firstLine="1701"/>
        <w:jc w:val="both"/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</w:pPr>
      <w:r w:rsidRPr="0002770D"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  <w:t>§ 12. Serão realizadas concomitantemente às eleições municipais as consultas populares sobre questões locais aprovadas pelas Câmaras Municipais e encaminhadas à Justiça Eleitoral até 90 (noventa) dias antes da data das eleições, observados os limites operacionais relativos ao número de quesitos. </w:t>
      </w:r>
    </w:p>
    <w:p w:rsidR="00A07048" w:rsidRDefault="00A07048" w:rsidP="00A07048">
      <w:pPr>
        <w:pStyle w:val="LO-normal"/>
        <w:spacing w:before="200" w:after="0" w:line="360" w:lineRule="auto"/>
        <w:ind w:firstLine="1701"/>
        <w:jc w:val="both"/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</w:pPr>
      <w:r w:rsidRPr="0002770D"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  <w:t>§ 13. As manifestações favoráveis e contrárias às questões submetidas às consultas populares nos termos do § 12 ocorrerão durante as campanhas eleitorais, sem a utilização de propaganda gratuita no rádio e na televisão</w:t>
      </w:r>
      <w:r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  <w:t>.</w:t>
      </w:r>
    </w:p>
    <w:p w:rsidR="00A07048" w:rsidRDefault="00FB467D" w:rsidP="00A07048">
      <w:pPr>
        <w:pStyle w:val="LO-normal"/>
        <w:spacing w:before="200" w:after="0" w:line="360" w:lineRule="auto"/>
        <w:ind w:firstLine="1701"/>
        <w:jc w:val="both"/>
        <w:rPr>
          <w:rFonts w:asciiTheme="majorHAnsi" w:hAnsiTheme="majorHAnsi"/>
          <w:color w:val="000000"/>
          <w:sz w:val="24"/>
          <w:shd w:val="clear" w:color="auto" w:fill="FFFFFF"/>
          <w:lang w:eastAsia="pt-BR"/>
        </w:rPr>
      </w:pPr>
      <w:r>
        <w:rPr>
          <w:rFonts w:ascii="Cambria" w:eastAsia="Cambria" w:hAnsi="Cambria" w:cs="Cambria"/>
          <w:b/>
          <w:sz w:val="24"/>
        </w:rPr>
        <w:t>CONSIDERANDO</w:t>
      </w:r>
      <w:bookmarkStart w:id="0" w:name="_GoBack"/>
      <w:bookmarkEnd w:id="0"/>
      <w:r w:rsidR="00A07048">
        <w:rPr>
          <w:rFonts w:ascii="Cambria" w:eastAsia="Cambria" w:hAnsi="Cambria" w:cs="Cambria"/>
          <w:sz w:val="24"/>
        </w:rPr>
        <w:t xml:space="preserve"> que as consultas populares representam forma de incremento da participação popular na definição dos destinos da cidade, fortalecendo o processo democrático;</w:t>
      </w:r>
    </w:p>
    <w:p w:rsidR="00A07048" w:rsidRDefault="00A07048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b/>
          <w:bCs/>
          <w:color w:val="00000A"/>
          <w:szCs w:val="24"/>
          <w:u w:val="thick"/>
        </w:rPr>
      </w:pPr>
    </w:p>
    <w:p w:rsidR="002B2083" w:rsidRDefault="007370C0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bCs/>
          <w:color w:val="00000A"/>
          <w:szCs w:val="24"/>
          <w:u w:val="thick"/>
        </w:rPr>
        <w:t>RECOMENDA</w:t>
      </w:r>
    </w:p>
    <w:p w:rsidR="00A07048" w:rsidRDefault="00A07048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color w:val="00000A"/>
          <w:szCs w:val="24"/>
        </w:rPr>
      </w:pPr>
    </w:p>
    <w:p w:rsidR="00A07048" w:rsidRDefault="007370C0" w:rsidP="00A07048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color w:val="00000A"/>
          <w:szCs w:val="24"/>
        </w:rPr>
      </w:pPr>
      <w:proofErr w:type="gramStart"/>
      <w:r>
        <w:rPr>
          <w:rFonts w:ascii="Cambria" w:hAnsi="Cambria"/>
          <w:color w:val="00000A"/>
          <w:szCs w:val="24"/>
        </w:rPr>
        <w:t>ao</w:t>
      </w:r>
      <w:proofErr w:type="gramEnd"/>
      <w:r>
        <w:rPr>
          <w:rFonts w:ascii="Cambria" w:hAnsi="Cambria"/>
          <w:color w:val="00000A"/>
          <w:szCs w:val="24"/>
        </w:rPr>
        <w:t xml:space="preserve"> Sr. Pre</w:t>
      </w:r>
      <w:r w:rsidR="00A07048">
        <w:rPr>
          <w:rFonts w:ascii="Cambria" w:hAnsi="Cambria"/>
          <w:color w:val="00000A"/>
          <w:szCs w:val="24"/>
        </w:rPr>
        <w:t>sidente da Câmara Municipal de Tocantinópolis/TO e a cada Vereador:</w:t>
      </w:r>
    </w:p>
    <w:p w:rsidR="002B2083" w:rsidRDefault="00A07048" w:rsidP="00A07048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color w:val="00000A"/>
          <w:szCs w:val="24"/>
        </w:rPr>
      </w:pPr>
      <w:proofErr w:type="gramStart"/>
      <w:r>
        <w:rPr>
          <w:rFonts w:ascii="Cambria" w:hAnsi="Cambria"/>
          <w:color w:val="00000A"/>
          <w:szCs w:val="24"/>
        </w:rPr>
        <w:lastRenderedPageBreak/>
        <w:t>1</w:t>
      </w:r>
      <w:proofErr w:type="gramEnd"/>
      <w:r>
        <w:rPr>
          <w:rFonts w:ascii="Cambria" w:hAnsi="Cambria"/>
          <w:color w:val="00000A"/>
          <w:szCs w:val="24"/>
        </w:rPr>
        <w:t xml:space="preserve">) </w:t>
      </w:r>
      <w:r w:rsidR="007370C0">
        <w:rPr>
          <w:rFonts w:ascii="Cambria" w:hAnsi="Cambria"/>
          <w:color w:val="00000A"/>
          <w:szCs w:val="24"/>
        </w:rPr>
        <w:t xml:space="preserve">Que </w:t>
      </w:r>
      <w:r>
        <w:rPr>
          <w:rFonts w:ascii="Cambria" w:hAnsi="Cambria"/>
          <w:color w:val="00000A"/>
          <w:szCs w:val="24"/>
        </w:rPr>
        <w:t>deliberem sobre a conveniência acerca da veiculação de consulta popular nas eleições de 2024;</w:t>
      </w:r>
    </w:p>
    <w:p w:rsidR="00A07048" w:rsidRDefault="00A07048" w:rsidP="00A07048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2</w:t>
      </w:r>
      <w:proofErr w:type="gramEnd"/>
      <w:r>
        <w:rPr>
          <w:rFonts w:ascii="Cambria" w:hAnsi="Cambria"/>
          <w:szCs w:val="24"/>
        </w:rPr>
        <w:t>) Que, em caso positivo, deliberem e definam os quesitos a serem submetidos a escrutínio popular no momento do voto para as eleições municipais;</w:t>
      </w:r>
    </w:p>
    <w:p w:rsidR="00A07048" w:rsidRDefault="00A07048" w:rsidP="00A07048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3</w:t>
      </w:r>
      <w:proofErr w:type="gramEnd"/>
      <w:r>
        <w:rPr>
          <w:rFonts w:ascii="Cambria" w:hAnsi="Cambria"/>
          <w:szCs w:val="24"/>
        </w:rPr>
        <w:t>) Que observem o calendário constitucionalmente definido segundo o qual os quesitos devem ser submetidos à Justiça Eleitoral até os 90 (noventa) dias que antecedem o pleito eleitoral;</w:t>
      </w:r>
    </w:p>
    <w:p w:rsidR="008F4B23" w:rsidRDefault="008F4B23" w:rsidP="00A07048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4</w:t>
      </w:r>
      <w:proofErr w:type="gramEnd"/>
      <w:r>
        <w:rPr>
          <w:rFonts w:ascii="Cambria" w:hAnsi="Cambria"/>
          <w:szCs w:val="24"/>
        </w:rPr>
        <w:t>) Que tenham em conta que a modalidade de participação popular em tela é meio de fortalecimento da democracia mediante a participação popular na definição de soluções para a cidade;</w:t>
      </w:r>
    </w:p>
    <w:p w:rsidR="002B2083" w:rsidRDefault="008F4B23" w:rsidP="008F4B23">
      <w:pPr>
        <w:pStyle w:val="Standard"/>
        <w:spacing w:before="240" w:line="360" w:lineRule="auto"/>
        <w:ind w:right="-283" w:firstLine="1701"/>
        <w:jc w:val="both"/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5</w:t>
      </w:r>
      <w:proofErr w:type="gramEnd"/>
      <w:r>
        <w:rPr>
          <w:rFonts w:ascii="Cambria" w:hAnsi="Cambria"/>
          <w:szCs w:val="24"/>
        </w:rPr>
        <w:t>) Que até 15 de julho de 2024 informem o Ministério Público Eleitoral se houve a aprovação necessária à realização da consulta popular e quais serão os quesitos formulados.</w:t>
      </w:r>
    </w:p>
    <w:p w:rsidR="002B2083" w:rsidRDefault="008F4B23" w:rsidP="00FB467D">
      <w:pPr>
        <w:pStyle w:val="Standard"/>
        <w:spacing w:before="240" w:line="360" w:lineRule="auto"/>
        <w:ind w:right="-284"/>
        <w:jc w:val="center"/>
        <w:rPr>
          <w:rFonts w:ascii="Cambria" w:hAnsi="Cambria"/>
          <w:szCs w:val="24"/>
        </w:rPr>
      </w:pPr>
      <w:r>
        <w:rPr>
          <w:rFonts w:ascii="Cambria" w:hAnsi="Cambria"/>
          <w:color w:val="00000A"/>
          <w:szCs w:val="24"/>
        </w:rPr>
        <w:t>Tocantinópolis/TO, 21 de fevereiro de 2024.</w:t>
      </w:r>
    </w:p>
    <w:p w:rsidR="002B2083" w:rsidRDefault="002B2083">
      <w:pPr>
        <w:pStyle w:val="Standard"/>
        <w:spacing w:before="240" w:line="360" w:lineRule="auto"/>
        <w:ind w:left="567" w:right="-284"/>
        <w:jc w:val="right"/>
        <w:rPr>
          <w:rFonts w:ascii="Cambria" w:hAnsi="Cambria"/>
          <w:color w:val="00000A"/>
          <w:szCs w:val="24"/>
        </w:rPr>
      </w:pPr>
    </w:p>
    <w:p w:rsidR="008F4B23" w:rsidRDefault="008F4B23" w:rsidP="008F4B23">
      <w:pPr>
        <w:pStyle w:val="Standard"/>
        <w:spacing w:before="120" w:after="120" w:line="360" w:lineRule="auto"/>
        <w:jc w:val="center"/>
        <w:rPr>
          <w:rFonts w:ascii="Cambria" w:hAnsi="Cambria"/>
          <w:b/>
          <w:bCs/>
          <w:color w:val="00000A"/>
          <w:szCs w:val="24"/>
        </w:rPr>
      </w:pPr>
      <w:proofErr w:type="spellStart"/>
      <w:r>
        <w:rPr>
          <w:rFonts w:ascii="Cambria" w:hAnsi="Cambria"/>
          <w:b/>
          <w:bCs/>
          <w:color w:val="00000A"/>
          <w:szCs w:val="24"/>
        </w:rPr>
        <w:t>Célem</w:t>
      </w:r>
      <w:proofErr w:type="spellEnd"/>
      <w:r>
        <w:rPr>
          <w:rFonts w:ascii="Cambria" w:hAnsi="Cambria"/>
          <w:b/>
          <w:bCs/>
          <w:color w:val="00000A"/>
          <w:szCs w:val="24"/>
        </w:rPr>
        <w:t xml:space="preserve"> Guimarães Guerra Júnior</w:t>
      </w:r>
    </w:p>
    <w:p w:rsidR="002B2083" w:rsidRDefault="007370C0" w:rsidP="008F4B23">
      <w:pPr>
        <w:pStyle w:val="Standard"/>
        <w:spacing w:before="120" w:after="120" w:line="360" w:lineRule="auto"/>
        <w:jc w:val="center"/>
        <w:rPr>
          <w:rFonts w:ascii="Cambria" w:hAnsi="Cambria"/>
          <w:szCs w:val="24"/>
        </w:rPr>
      </w:pPr>
      <w:proofErr w:type="gramStart"/>
      <w:r>
        <w:rPr>
          <w:rFonts w:ascii="Cambria" w:hAnsi="Cambria"/>
          <w:b/>
          <w:bCs/>
          <w:color w:val="00000A"/>
          <w:szCs w:val="24"/>
        </w:rPr>
        <w:t>Promotor(</w:t>
      </w:r>
      <w:proofErr w:type="gramEnd"/>
      <w:r>
        <w:rPr>
          <w:rFonts w:ascii="Cambria" w:hAnsi="Cambria"/>
          <w:b/>
          <w:bCs/>
          <w:color w:val="00000A"/>
          <w:szCs w:val="24"/>
        </w:rPr>
        <w:t>a) Eleitoral</w:t>
      </w:r>
    </w:p>
    <w:sectPr w:rsidR="002B2083">
      <w:headerReference w:type="default" r:id="rId8"/>
      <w:pgSz w:w="11906" w:h="16838"/>
      <w:pgMar w:top="3017" w:right="1134" w:bottom="851" w:left="1701" w:header="125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C0" w:rsidRDefault="007370C0">
      <w:pPr>
        <w:spacing w:line="240" w:lineRule="auto"/>
      </w:pPr>
      <w:r>
        <w:separator/>
      </w:r>
    </w:p>
  </w:endnote>
  <w:endnote w:type="continuationSeparator" w:id="0">
    <w:p w:rsidR="007370C0" w:rsidRDefault="00737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C0" w:rsidRDefault="007370C0">
      <w:pPr>
        <w:spacing w:line="240" w:lineRule="auto"/>
      </w:pPr>
      <w:r>
        <w:separator/>
      </w:r>
    </w:p>
  </w:footnote>
  <w:footnote w:type="continuationSeparator" w:id="0">
    <w:p w:rsidR="007370C0" w:rsidRDefault="007370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83" w:rsidRDefault="007370C0">
    <w:pPr>
      <w:suppressAutoHyphens w:val="0"/>
      <w:spacing w:line="360" w:lineRule="auto"/>
      <w:jc w:val="center"/>
    </w:pPr>
    <w:r>
      <w:rPr>
        <w:noProof/>
        <w:lang w:eastAsia="pt-BR"/>
      </w:rPr>
      <w:drawing>
        <wp:inline distT="0" distB="0" distL="0" distR="0">
          <wp:extent cx="487680" cy="520065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2083" w:rsidRDefault="007370C0">
    <w:pPr>
      <w:suppressAutoHyphens w:val="0"/>
      <w:jc w:val="center"/>
      <w:rPr>
        <w:rFonts w:ascii="Arial" w:hAnsi="Arial" w:cs="Arial"/>
        <w:b/>
        <w:bCs/>
        <w:spacing w:val="8"/>
        <w:sz w:val="20"/>
        <w:szCs w:val="20"/>
        <w:lang w:eastAsia="en-US"/>
      </w:rPr>
    </w:pPr>
    <w:r>
      <w:rPr>
        <w:rFonts w:ascii="Arial" w:hAnsi="Arial" w:cs="Arial"/>
        <w:b/>
        <w:bCs/>
        <w:spacing w:val="8"/>
        <w:sz w:val="20"/>
        <w:szCs w:val="20"/>
        <w:lang w:eastAsia="en-US"/>
      </w:rPr>
      <w:t>MINISTÉRIO PÚBLICO ELEITORAL</w:t>
    </w:r>
  </w:p>
  <w:p w:rsidR="002B2083" w:rsidRDefault="002B2083">
    <w:pPr>
      <w:suppressAutoHyphens w:val="0"/>
      <w:jc w:val="center"/>
      <w:rPr>
        <w:rFonts w:ascii="Arial" w:hAnsi="Arial" w:cs="Arial"/>
        <w:b/>
        <w:bCs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EA1"/>
    <w:multiLevelType w:val="multilevel"/>
    <w:tmpl w:val="B65088D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B9464F"/>
    <w:multiLevelType w:val="multilevel"/>
    <w:tmpl w:val="0F0227FE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Book Antiqua" w:hAnsi="Book Antiqua" w:cs="Arial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48396C5D"/>
    <w:multiLevelType w:val="multilevel"/>
    <w:tmpl w:val="E0526C4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Book Antiqua" w:hAnsi="Book Antiqua" w:cs="Arial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7F066D30"/>
    <w:multiLevelType w:val="multilevel"/>
    <w:tmpl w:val="4404A80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Book Antiqua" w:hAnsi="Book Antiqua" w:cs="Arial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2083"/>
    <w:rsid w:val="002B2083"/>
    <w:rsid w:val="007370C0"/>
    <w:rsid w:val="008F4B23"/>
    <w:rsid w:val="00A07048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100" w:lineRule="atLeast"/>
    </w:pPr>
    <w:rPr>
      <w:rFonts w:eastAsia="Times New Roman" w:cs="Times New Roman"/>
      <w:color w:val="00000A"/>
      <w:kern w:val="2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qFormat/>
    <w:rPr>
      <w:rFonts w:ascii="Courier New" w:eastAsia="Times New Roman" w:hAnsi="Courier New" w:cs="Courier New"/>
      <w:sz w:val="28"/>
      <w:szCs w:val="28"/>
      <w:lang w:eastAsia="zh-CN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1"/>
    <w:qFormat/>
    <w:rPr>
      <w:vertAlign w:val="superscript"/>
    </w:rPr>
  </w:style>
  <w:style w:type="character" w:customStyle="1" w:styleId="nfaseforte">
    <w:name w:val="Ênfase forte"/>
    <w:basedOn w:val="Fontepargpadro"/>
    <w:qFormat/>
    <w:rPr>
      <w:b/>
      <w:bCs/>
    </w:rPr>
  </w:style>
  <w:style w:type="character" w:customStyle="1" w:styleId="url">
    <w:name w:val="url"/>
    <w:basedOn w:val="Fontepargpadro"/>
    <w:qFormat/>
  </w:style>
  <w:style w:type="character" w:customStyle="1" w:styleId="hit">
    <w:name w:val="hit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701"/>
      <w:jc w:val="both"/>
    </w:pPr>
    <w:rPr>
      <w:rFonts w:ascii="Courier New" w:hAnsi="Courier New" w:cs="Courier New"/>
      <w:sz w:val="28"/>
      <w:szCs w:val="28"/>
    </w:rPr>
  </w:style>
  <w:style w:type="paragraph" w:customStyle="1" w:styleId="Corpodetexto21">
    <w:name w:val="Corpo de texto 21"/>
    <w:basedOn w:val="Normal"/>
    <w:qFormat/>
    <w:pPr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0"/>
      <w:spacing w:before="28" w:after="28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/>
      <w:kern w:val="2"/>
      <w:sz w:val="24"/>
      <w:szCs w:val="20"/>
      <w:lang w:bidi="ar-SA"/>
    </w:rPr>
  </w:style>
  <w:style w:type="paragraph" w:customStyle="1" w:styleId="LO-normal">
    <w:name w:val="LO-normal"/>
    <w:qFormat/>
    <w:rsid w:val="00A07048"/>
    <w:pPr>
      <w:spacing w:after="20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100" w:lineRule="atLeast"/>
    </w:pPr>
    <w:rPr>
      <w:rFonts w:eastAsia="Times New Roman" w:cs="Times New Roman"/>
      <w:color w:val="00000A"/>
      <w:kern w:val="2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qFormat/>
    <w:rPr>
      <w:rFonts w:ascii="Courier New" w:eastAsia="Times New Roman" w:hAnsi="Courier New" w:cs="Courier New"/>
      <w:sz w:val="28"/>
      <w:szCs w:val="28"/>
      <w:lang w:eastAsia="zh-CN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1"/>
    <w:qFormat/>
    <w:rPr>
      <w:vertAlign w:val="superscript"/>
    </w:rPr>
  </w:style>
  <w:style w:type="character" w:customStyle="1" w:styleId="nfaseforte">
    <w:name w:val="Ênfase forte"/>
    <w:basedOn w:val="Fontepargpadro"/>
    <w:qFormat/>
    <w:rPr>
      <w:b/>
      <w:bCs/>
    </w:rPr>
  </w:style>
  <w:style w:type="character" w:customStyle="1" w:styleId="url">
    <w:name w:val="url"/>
    <w:basedOn w:val="Fontepargpadro"/>
    <w:qFormat/>
  </w:style>
  <w:style w:type="character" w:customStyle="1" w:styleId="hit">
    <w:name w:val="hit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701"/>
      <w:jc w:val="both"/>
    </w:pPr>
    <w:rPr>
      <w:rFonts w:ascii="Courier New" w:hAnsi="Courier New" w:cs="Courier New"/>
      <w:sz w:val="28"/>
      <w:szCs w:val="28"/>
    </w:rPr>
  </w:style>
  <w:style w:type="paragraph" w:customStyle="1" w:styleId="Corpodetexto21">
    <w:name w:val="Corpo de texto 21"/>
    <w:basedOn w:val="Normal"/>
    <w:qFormat/>
    <w:pPr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0"/>
      <w:spacing w:before="28" w:after="28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/>
      <w:kern w:val="2"/>
      <w:sz w:val="24"/>
      <w:szCs w:val="20"/>
      <w:lang w:bidi="ar-SA"/>
    </w:rPr>
  </w:style>
  <w:style w:type="paragraph" w:customStyle="1" w:styleId="LO-normal">
    <w:name w:val="LO-normal"/>
    <w:qFormat/>
    <w:rsid w:val="00A07048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2024-02-21T16:11:00Z</dcterms:created>
  <dcterms:modified xsi:type="dcterms:W3CDTF">2024-02-21T16:12:00Z</dcterms:modified>
  <dc:language>en-US</dc:language>
</cp:coreProperties>
</file>