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>Trata-se de requerimento por meio do qual o(a) candidato(a) acima referido(a) apresenta seu Requerimento de Registro de Candidatura – RRC, para participar das eleições de 2024.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Cs w:val="24"/>
          <w:lang w:eastAsia="pt-BR"/>
        </w:rPr>
        <w:t>É o relatório.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O RRC não atende todas os requisitos legais, encontrando-se irregular, pois </w:t>
      </w:r>
      <w:r>
        <w:rPr>
          <w:rFonts w:cs="Arial" w:ascii="Cambria" w:hAnsi="Cambria"/>
          <w:color w:val="000000"/>
          <w:szCs w:val="24"/>
          <w:shd w:fill="FFFF00" w:val="clear"/>
          <w:lang w:eastAsia="pt-BR"/>
        </w:rPr>
        <w:t xml:space="preserve">[ </w:t>
      </w:r>
      <w:r>
        <w:rPr>
          <w:rFonts w:cs="Arial" w:ascii="Cambria" w:hAnsi="Cambria"/>
          <w:b/>
          <w:bCs/>
          <w:color w:val="000000"/>
          <w:szCs w:val="24"/>
          <w:shd w:fill="FFFF00" w:val="clear"/>
          <w:lang w:eastAsia="pt-BR"/>
        </w:rPr>
        <w:t xml:space="preserve">LISTAR AS IRREGULARIDADES DO RRC </w:t>
      </w:r>
      <w:r>
        <w:rPr>
          <w:rFonts w:cs="Arial" w:ascii="Cambria" w:hAnsi="Cambria"/>
          <w:color w:val="000000"/>
          <w:szCs w:val="24"/>
          <w:shd w:fill="FFFF00" w:val="clear"/>
          <w:lang w:eastAsia="pt-BR"/>
        </w:rPr>
        <w:t>]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Ante o exposto, o Ministério Público Eleitoral manifesta-se pela </w:t>
      </w:r>
      <w:r>
        <w:rPr>
          <w:rFonts w:cs="Arial" w:ascii="Cambria" w:hAnsi="Cambria"/>
          <w:color w:val="000000"/>
          <w:szCs w:val="24"/>
          <w:u w:val="single"/>
          <w:lang w:eastAsia="pt-BR"/>
        </w:rPr>
        <w:t>conversão do feito em diligência</w:t>
      </w:r>
      <w:r>
        <w:rPr>
          <w:rFonts w:cs="Arial" w:ascii="Cambria" w:hAnsi="Cambria"/>
          <w:color w:val="000000"/>
          <w:szCs w:val="24"/>
          <w:lang w:eastAsia="pt-BR"/>
        </w:rPr>
        <w:t xml:space="preserve"> (art. 36 da Resolução TSE nº 23.609/2019) a fim de possibilitar a(ao) requerente sanear o vício no prazo de 3 (três) dias, sob pena de ter o RRC indeferido.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Outrossim, após o cumprimento da diligência, requer nova vista dos autos para emissão de parecer conclusivo; sendo que caso o(a) requerente quede-se omisso e seja mantida a irregularidade, o </w:t>
      </w:r>
      <w:r>
        <w:rPr>
          <w:rFonts w:cs="Arial" w:ascii="Cambria" w:hAnsi="Cambria"/>
          <w:i/>
          <w:iCs/>
          <w:color w:val="000000"/>
          <w:szCs w:val="24"/>
          <w:lang w:eastAsia="pt-BR"/>
        </w:rPr>
        <w:t xml:space="preserve">parquet </w:t>
      </w:r>
      <w:r>
        <w:rPr>
          <w:rFonts w:cs="Arial" w:ascii="Cambria" w:hAnsi="Cambria"/>
          <w:i w:val="false"/>
          <w:iCs w:val="false"/>
          <w:color w:val="000000"/>
          <w:szCs w:val="24"/>
          <w:lang w:eastAsia="pt-BR"/>
        </w:rPr>
        <w:t>se manifesta</w:t>
      </w:r>
      <w:r>
        <w:rPr>
          <w:rFonts w:cs="Arial" w:ascii="Cambria" w:hAnsi="Cambria"/>
          <w:color w:val="000000"/>
          <w:szCs w:val="24"/>
          <w:lang w:eastAsia="pt-BR"/>
        </w:rPr>
        <w:t xml:space="preserve"> desde já pelo </w:t>
      </w:r>
      <w:r>
        <w:rPr>
          <w:rFonts w:cs="Arial" w:ascii="Cambria" w:hAnsi="Cambria"/>
          <w:b/>
          <w:bCs/>
          <w:color w:val="000000"/>
          <w:szCs w:val="24"/>
          <w:lang w:eastAsia="pt-BR"/>
        </w:rPr>
        <w:t>indeferimento</w:t>
      </w:r>
      <w:r>
        <w:rPr>
          <w:rFonts w:cs="Arial" w:ascii="Cambria" w:hAnsi="Cambria"/>
          <w:color w:val="000000"/>
          <w:szCs w:val="24"/>
          <w:lang w:eastAsia="pt-BR"/>
        </w:rPr>
        <w:t xml:space="preserve"> do RRC.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Verdana" w:ascii="Cambria" w:hAnsi="Cambria"/>
          <w:szCs w:val="24"/>
        </w:rPr>
        <w:t>Local de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hanging="0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hanging="0"/>
        <w:jc w:val="center"/>
        <w:rPr>
          <w:rFonts w:ascii="Cambria" w:hAnsi="Cambria"/>
        </w:rPr>
      </w:pPr>
      <w:r>
        <w:rPr>
          <w:rFonts w:cs="Verdana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1</Pages>
  <Words>147</Words>
  <Characters>815</Characters>
  <CharactersWithSpaces>952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2023-06-06T13:59:08Z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