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numPr>
          <w:ilvl w:val="0"/>
          <w:numId w:val="1"/>
        </w:numPr>
        <w:bidi w:val="0"/>
        <w:jc w:val="left"/>
        <w:rPr>
          <w:rFonts w:ascii="Arial" w:hAnsi="Arial" w:eastAsia="Times New Roman" w:cs="Times New Roman"/>
          <w:b/>
          <w:b/>
          <w:bCs/>
          <w:color w:val="C9211E"/>
          <w:sz w:val="22"/>
          <w:szCs w:val="22"/>
        </w:rPr>
      </w:pPr>
      <w:r>
        <w:rPr>
          <w:rFonts w:eastAsia="Times New Roman" w:cs="Times New Roman"/>
          <w:b/>
          <w:bCs/>
          <w:color w:val="C9211E"/>
          <w:sz w:val="22"/>
          <w:szCs w:val="22"/>
        </w:rPr>
        <w:t>TAXONOMIA DO CNMP:</w:t>
      </w:r>
    </w:p>
    <w:p>
      <w:pPr>
        <w:pStyle w:val="LOnormal"/>
        <w:numPr>
          <w:ilvl w:val="0"/>
          <w:numId w:val="1"/>
        </w:numPr>
        <w:bidi w:val="0"/>
        <w:jc w:val="left"/>
        <w:rPr/>
      </w:pPr>
      <w:r>
        <w:rPr>
          <w:rFonts w:eastAsia="Times New Roman" w:cs="Times New Roman"/>
          <w:b w:val="false"/>
          <w:bCs w:val="false"/>
          <w:color w:val="C9211E"/>
          <w:sz w:val="22"/>
          <w:szCs w:val="22"/>
        </w:rPr>
        <w:t xml:space="preserve">ASSUNTO: 12838 - </w:t>
      </w:r>
      <w:hyperlink r:id="rId2">
        <w:r>
          <w:rPr>
            <w:rStyle w:val="LinkdaInternet"/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C9211E"/>
            <w:spacing w:val="0"/>
            <w:sz w:val="22"/>
            <w:szCs w:val="22"/>
            <w:u w:val="none"/>
          </w:rPr>
          <w:t>MANUTENÇÃO E DESENVOLVIMENTO DO ENSINO</w:t>
        </w:r>
      </w:hyperlink>
    </w:p>
    <w:p>
      <w:pPr>
        <w:pStyle w:val="LOnormal"/>
        <w:numPr>
          <w:ilvl w:val="0"/>
          <w:numId w:val="1"/>
        </w:numPr>
        <w:bidi w:val="0"/>
        <w:jc w:val="left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LOnormal"/>
        <w:numPr>
          <w:ilvl w:val="0"/>
          <w:numId w:val="1"/>
        </w:numPr>
        <w:bidi w:val="0"/>
        <w:jc w:val="left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LOnormal"/>
        <w:numPr>
          <w:ilvl w:val="0"/>
          <w:numId w:val="1"/>
        </w:numPr>
        <w:bidi w:val="0"/>
        <w:jc w:val="left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PORTARIA Nº </w:t>
      </w:r>
      <w:r>
        <w:rPr>
          <w:rFonts w:ascii="Arial" w:hAnsi="Arial"/>
          <w:b/>
          <w:bCs/>
          <w:sz w:val="22"/>
          <w:szCs w:val="22"/>
          <w:highlight w:val="yellow"/>
        </w:rPr>
        <w:t>*_____/202*</w:t>
      </w:r>
    </w:p>
    <w:p>
      <w:pPr>
        <w:pStyle w:val="NormalWeb"/>
        <w:numPr>
          <w:ilvl w:val="0"/>
          <w:numId w:val="1"/>
        </w:numPr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PROCEDIMENTO ADMINISTRATIVO </w:t>
      </w:r>
      <w:r>
        <w:rPr>
          <w:rFonts w:ascii="Arial" w:hAnsi="Arial"/>
          <w:b/>
          <w:bCs/>
          <w:sz w:val="22"/>
          <w:szCs w:val="22"/>
          <w:highlight w:val="yellow"/>
          <w:u w:val="single"/>
        </w:rPr>
        <w:t>Nº *___/202*</w:t>
      </w:r>
    </w:p>
    <w:p>
      <w:pPr>
        <w:pStyle w:val="LOnormal"/>
        <w:numPr>
          <w:ilvl w:val="0"/>
          <w:numId w:val="1"/>
        </w:numPr>
        <w:bidi w:val="0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Standard"/>
        <w:numPr>
          <w:ilvl w:val="0"/>
          <w:numId w:val="1"/>
        </w:numPr>
        <w:bidi w:val="0"/>
        <w:spacing w:lineRule="auto" w:line="360" w:before="113" w:after="113"/>
        <w:ind w:left="0" w:right="0" w:firstLine="1134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</w:rPr>
      </w:r>
    </w:p>
    <w:p>
      <w:pPr>
        <w:pStyle w:val="Standard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/>
      </w:pPr>
      <w:r>
        <w:rPr>
          <w:rFonts w:cs="Times New Roman" w:ascii="Arial" w:hAnsi="Arial"/>
          <w:sz w:val="22"/>
          <w:szCs w:val="22"/>
        </w:rPr>
        <w:t xml:space="preserve">O </w:t>
      </w:r>
      <w:r>
        <w:rPr>
          <w:rFonts w:cs="Times New Roman" w:ascii="Arial" w:hAnsi="Arial"/>
          <w:b/>
          <w:bCs/>
          <w:sz w:val="22"/>
          <w:szCs w:val="22"/>
        </w:rPr>
        <w:t xml:space="preserve">MINISTÉRIO PÚBLICO DO ESTADO DO </w:t>
      </w:r>
      <w:r>
        <w:rPr>
          <w:rFonts w:eastAsia="Noto Sans CJK SC Regular" w:cs="Times New Roman" w:ascii="Arial" w:hAnsi="Arial"/>
          <w:b/>
          <w:bCs/>
          <w:color w:val="00000A"/>
          <w:kern w:val="2"/>
          <w:sz w:val="22"/>
          <w:szCs w:val="22"/>
          <w:lang w:val="pt-BR" w:eastAsia="zh-CN" w:bidi="hi-IN"/>
        </w:rPr>
        <w:t>TOCANTINS</w:t>
      </w:r>
      <w:r>
        <w:rPr>
          <w:rFonts w:cs="Times New Roman" w:ascii="Arial" w:hAnsi="Arial"/>
          <w:sz w:val="22"/>
          <w:szCs w:val="22"/>
        </w:rPr>
        <w:t xml:space="preserve">, por seu membro adiante assinado, no uso das atribuições constitucionais conferidas pelos arts. 127 e 129, ambos da Constituição Federal de 1988, art. 50, </w:t>
      </w:r>
      <w:r>
        <w:rPr>
          <w:rFonts w:eastAsia="Noto Sans CJK SC Regular" w:cs="Times New Roman" w:ascii="Arial" w:hAnsi="Arial"/>
          <w:color w:val="00000A"/>
          <w:kern w:val="2"/>
          <w:sz w:val="22"/>
          <w:szCs w:val="22"/>
          <w:lang w:val="pt-BR" w:eastAsia="zh-CN" w:bidi="hi-IN"/>
        </w:rPr>
        <w:t>§ 4º</w:t>
      </w:r>
      <w:r>
        <w:rPr>
          <w:rFonts w:cs="Times New Roman" w:ascii="Arial" w:hAnsi="Arial"/>
          <w:sz w:val="22"/>
          <w:szCs w:val="22"/>
        </w:rPr>
        <w:t xml:space="preserve">, da Constituição do Estado do </w:t>
      </w:r>
      <w:r>
        <w:rPr>
          <w:rFonts w:eastAsia="Noto Sans CJK SC Regular" w:cs="Times New Roman" w:ascii="Arial" w:hAnsi="Arial"/>
          <w:color w:val="00000A"/>
          <w:kern w:val="2"/>
          <w:sz w:val="22"/>
          <w:szCs w:val="22"/>
          <w:lang w:val="pt-BR" w:eastAsia="zh-CN" w:bidi="hi-IN"/>
        </w:rPr>
        <w:t>Tocantins</w:t>
      </w:r>
      <w:r>
        <w:rPr>
          <w:rFonts w:cs="Times New Roman" w:ascii="Arial" w:hAnsi="Arial"/>
          <w:sz w:val="22"/>
          <w:szCs w:val="22"/>
        </w:rPr>
        <w:t xml:space="preserve">, art. </w:t>
      </w:r>
      <w:r>
        <w:rPr>
          <w:rFonts w:eastAsia="Noto Sans CJK SC Regular" w:cs="Times New Roman" w:ascii="Arial" w:hAnsi="Arial"/>
          <w:color w:val="00000A"/>
          <w:kern w:val="2"/>
          <w:sz w:val="22"/>
          <w:szCs w:val="22"/>
          <w:lang w:val="pt-BR" w:eastAsia="zh-CN" w:bidi="hi-IN"/>
        </w:rPr>
        <w:t xml:space="preserve">61, inciso I </w:t>
      </w:r>
      <w:r>
        <w:rPr>
          <w:rFonts w:cs="Times New Roman" w:ascii="Arial" w:hAnsi="Arial"/>
          <w:sz w:val="22"/>
          <w:szCs w:val="22"/>
        </w:rPr>
        <w:t xml:space="preserve">da Lei </w:t>
      </w:r>
      <w:r>
        <w:rPr>
          <w:rFonts w:eastAsia="Noto Sans CJK SC Regular" w:cs="Times New Roman" w:ascii="Arial" w:hAnsi="Arial"/>
          <w:color w:val="00000A"/>
          <w:kern w:val="2"/>
          <w:sz w:val="22"/>
          <w:szCs w:val="22"/>
          <w:lang w:val="pt-BR" w:eastAsia="zh-CN" w:bidi="hi-IN"/>
        </w:rPr>
        <w:t>Complementar nº 51</w:t>
      </w:r>
      <w:r>
        <w:rPr>
          <w:rFonts w:cs="Times New Roman" w:ascii="Arial" w:hAnsi="Arial"/>
          <w:sz w:val="22"/>
          <w:szCs w:val="22"/>
        </w:rPr>
        <w:t>/2008 e no Manual de Taxonomia do Conselho Nacional do Ministério Público, e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bCs w:val="false"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sz w:val="22"/>
          <w:szCs w:val="22"/>
        </w:rPr>
        <w:t xml:space="preserve"> que a Constituição Federal, em seu art. 205, determina que a educação é direito de todos e dever do Estado e da família, em colaboração com a sociedade, visando ao pleno desenvolvimento da pessoa e seu preparo para o exercício da cidadania, e que, em seu art. 206, orienta que o ensino será ministrado com base nos princípios de igualdade de condições para o acesso e a permanência na escola, entre outros, sendo que é dever do Estado garantir educação básica obrigatória e gratuita às crianças e aos adolescentes, dos 4 aos 17 anos, a teor do seu artigo 208;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sz w:val="22"/>
          <w:szCs w:val="22"/>
        </w:rPr>
        <w:t xml:space="preserve"> que ao Ministério Público foi dada legitimação ativa para a defesa judicial e extrajudicial dos interesses e direitos atinentes à infância e juventude, inclusive, individuais – caput do artigo 127 e incisos II e III do artigo 129, ambos da Constituição Federal e, incisos V e VIII do artigo 201 e inciso I do artigo 210, um e outro da Lei nº 8.069/90 – Estatuto da Criança e do Adolescente – ECA;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sz w:val="22"/>
          <w:szCs w:val="22"/>
        </w:rPr>
        <w:t xml:space="preserve"> que é dever do Poder Público assegurar a crianças e adolescentes, com absoluta prioridade, a efetivação dos direitos referentes à vida, à saúde, à alimentação, à educação, ao esporte, ao lazer, à profissionalização, à cultura, à dignidade, ao respeito e à convivência familiar e comunitária – conjunto de prerrogativas que encontram, nas unidades de educação infantil, espaços férteis à sua efetividade – nos termos da regra prevista no caput do artigo 227 da Constituição Federal e no artigo 4º da Lei nº 8.069/90 – Estatuto da Criança e do Adolescente (ECA);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sz w:val="22"/>
          <w:szCs w:val="22"/>
        </w:rPr>
        <w:t xml:space="preserve"> que, segundo estabelecido nas alíneas b, c e d do parágrafo único do artigo 4º da Lei n. 8.069/90 – Estatuto da Criança e do Adolescente (ECA), a garantia de prioridade compreende, dentre outros fatores, (I) a precedência de atendimento nos serviços públicos e de relevância pública, (II) a preferência na formulação e na execução das políticas sociais pública e, (III) a destinação privilegiada de recursos públicos nas áreas relacionadas com a proteção à criança e ao adolescente, o que importa na previsão de verbas orçamentárias, nos mais diversos setores de governo, para fazer frente as ações e programas de atendimento, voltados à população infantojuvenil;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sz w:val="22"/>
          <w:szCs w:val="22"/>
        </w:rPr>
        <w:t xml:space="preserve"> que, nos termos do art. 205 da CF, “a educação é um direito de todos e dever do Estado e da família e será promovida e incentivada com a colaboração da sociedade, visando ao pleno desenvolvimento da pessoa, seu preparo para o exercício da cidadania e qualificação para o trabalho”;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kern w:val="0"/>
          <w:sz w:val="22"/>
          <w:szCs w:val="22"/>
          <w:lang w:eastAsia="pt-BR"/>
        </w:rPr>
        <w:t>CONSIDERANDO</w:t>
      </w:r>
      <w:r>
        <w:rPr>
          <w:rFonts w:cs="Times New Roman" w:ascii="Arial" w:hAnsi="Arial"/>
          <w:kern w:val="0"/>
          <w:sz w:val="22"/>
          <w:szCs w:val="22"/>
          <w:lang w:eastAsia="pt-BR"/>
        </w:rPr>
        <w:t xml:space="preserve"> que a Carta Magna e o Estatuto da Criança e do Adolescente garantem a todas as crianças e adolescentes, com absoluta prioridade, direitos fundamentais, assegurando-lhes primazia em receber proteção e socorro, precedência no atendimento nos serviços públicos, preferência na formulação de políticas e destinação privilegiada de recursos para sua proteção;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/>
      </w:pPr>
      <w:r>
        <w:rPr>
          <w:rFonts w:cs="Times New Roman" w:ascii="Arial" w:hAnsi="Arial"/>
          <w:b/>
          <w:spacing w:val="-3"/>
          <w:sz w:val="22"/>
          <w:szCs w:val="22"/>
        </w:rPr>
        <w:t xml:space="preserve">CONSIDERANDO </w:t>
      </w:r>
      <w:r>
        <w:rPr>
          <w:rFonts w:cs="Times New Roman" w:ascii="Arial" w:hAnsi="Arial"/>
          <w:spacing w:val="-3"/>
          <w:sz w:val="22"/>
          <w:szCs w:val="22"/>
        </w:rPr>
        <w:t xml:space="preserve">que a educação de qualidade é direito fundamental do ser humano, inserida no rol de direitos sociais, consoante firmado no </w:t>
      </w:r>
      <w:r>
        <w:rPr>
          <w:rFonts w:eastAsia="Droid Sans Fallback" w:cs="Times New Roman" w:ascii="Arial" w:hAnsi="Arial"/>
          <w:color w:val="00000A"/>
          <w:spacing w:val="-3"/>
          <w:kern w:val="2"/>
          <w:sz w:val="22"/>
          <w:szCs w:val="22"/>
          <w:lang w:val="pt-BR" w:eastAsia="zh-CN" w:bidi="hi-IN"/>
        </w:rPr>
        <w:t>A</w:t>
      </w:r>
      <w:r>
        <w:rPr>
          <w:rFonts w:cs="Times New Roman" w:ascii="Arial" w:hAnsi="Arial"/>
          <w:spacing w:val="-3"/>
          <w:sz w:val="22"/>
          <w:szCs w:val="22"/>
        </w:rPr>
        <w:t>rtigo 6 da Constituição</w:t>
      </w:r>
      <w:r>
        <w:rPr>
          <w:rFonts w:cs="Times New Roman" w:ascii="Arial" w:hAnsi="Arial"/>
          <w:spacing w:val="-28"/>
          <w:sz w:val="22"/>
          <w:szCs w:val="22"/>
        </w:rPr>
        <w:t xml:space="preserve"> </w:t>
      </w:r>
      <w:r>
        <w:rPr>
          <w:rFonts w:cs="Times New Roman" w:ascii="Arial" w:hAnsi="Arial"/>
          <w:spacing w:val="-3"/>
          <w:sz w:val="22"/>
          <w:szCs w:val="22"/>
        </w:rPr>
        <w:t>Federal de 1988;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  <w:t>CONSIDERANDO</w:t>
      </w:r>
      <w:r>
        <w:rPr>
          <w:rFonts w:cs="Times New Roman" w:ascii="Arial" w:hAnsi="Arial"/>
          <w:sz w:val="22"/>
          <w:szCs w:val="22"/>
        </w:rPr>
        <w:t xml:space="preserve"> que o artigo 206, inciso VI, também da Constituição Federal, estabelece que o ensino público deverá ser ministrado com base no princípio da gestão democrática;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  <w:t>CONSIDERANDO</w:t>
      </w:r>
      <w:r>
        <w:rPr>
          <w:rFonts w:cs="Times New Roman" w:ascii="Arial" w:hAnsi="Arial"/>
          <w:sz w:val="22"/>
          <w:szCs w:val="22"/>
        </w:rPr>
        <w:t xml:space="preserve"> que “</w:t>
      </w:r>
      <w:r>
        <w:rPr>
          <w:rFonts w:cs="Times New Roman" w:ascii="Arial" w:hAnsi="Arial"/>
          <w:i/>
          <w:iCs/>
          <w:sz w:val="22"/>
          <w:szCs w:val="22"/>
        </w:rPr>
        <w:t>a União, os Estados, o Distrito Federal e os Municípios organizarão, em regime de colaboração, seus sistemas de ensino</w:t>
      </w:r>
      <w:r>
        <w:rPr>
          <w:rFonts w:cs="Times New Roman" w:ascii="Arial" w:hAnsi="Arial"/>
          <w:sz w:val="22"/>
          <w:szCs w:val="22"/>
        </w:rPr>
        <w:t>” e que “</w:t>
      </w:r>
      <w:r>
        <w:rPr>
          <w:rFonts w:cs="Times New Roman" w:ascii="Arial" w:hAnsi="Arial"/>
          <w:i/>
          <w:iCs/>
          <w:sz w:val="22"/>
          <w:szCs w:val="22"/>
        </w:rPr>
        <w:t>os Municípios atuarão prioritariamente no ensino fundamental e na educação infantil</w:t>
      </w:r>
      <w:r>
        <w:rPr>
          <w:rFonts w:cs="Times New Roman" w:ascii="Arial" w:hAnsi="Arial"/>
          <w:sz w:val="22"/>
          <w:szCs w:val="22"/>
        </w:rPr>
        <w:t>” (art. 211, caput e §2º, da CF);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  <w:t>CONSIDERANDO</w:t>
      </w:r>
      <w:r>
        <w:rPr>
          <w:rFonts w:cs="Times New Roman" w:ascii="Arial" w:hAnsi="Arial"/>
          <w:sz w:val="22"/>
          <w:szCs w:val="22"/>
        </w:rPr>
        <w:t xml:space="preserve"> que “</w:t>
      </w:r>
      <w:r>
        <w:rPr>
          <w:rFonts w:cs="Times New Roman" w:ascii="Arial" w:hAnsi="Arial"/>
          <w:i/>
          <w:iCs/>
          <w:sz w:val="22"/>
          <w:szCs w:val="22"/>
        </w:rPr>
        <w:t>compete aos Municípios: VI - Manter, com a cooperação técnica e financeira da União e do Estado, programas de educação pré-escolar e de ensino fundamental”</w:t>
      </w:r>
      <w:r>
        <w:rPr>
          <w:rFonts w:cs="Times New Roman" w:ascii="Arial" w:hAnsi="Arial"/>
          <w:sz w:val="22"/>
          <w:szCs w:val="22"/>
        </w:rPr>
        <w:t xml:space="preserve"> (art. 30, VI, da CF);</w:t>
      </w:r>
    </w:p>
    <w:p>
      <w:pPr>
        <w:pStyle w:val="Normal"/>
        <w:numPr>
          <w:ilvl w:val="0"/>
          <w:numId w:val="1"/>
        </w:numPr>
        <w:suppressAutoHyphens w:val="true"/>
        <w:overflowPunct w:val="true"/>
        <w:bidi w:val="0"/>
        <w:spacing w:lineRule="auto" w:line="360" w:before="113" w:after="113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sz w:val="22"/>
          <w:szCs w:val="22"/>
        </w:rPr>
        <w:t>CONSIDERANDO</w:t>
      </w:r>
      <w:r>
        <w:rPr>
          <w:rFonts w:eastAsia="Times New Roman" w:cs="Times New Roman" w:ascii="Arial" w:hAnsi="Arial"/>
          <w:sz w:val="22"/>
          <w:szCs w:val="22"/>
        </w:rPr>
        <w:t xml:space="preserve"> que o parágrafo único do artigo 4º, do Estatuto da Criança e Adolescente, prevê que a garantia de prioridade compreende: primazia de receber proteção e socorro em quaisquer circunstâncias; precedência de atendimento nos serviços públicos ou de relevância pública; preferência na formulação e na execução das políticas sociais públicas; e destinação privilegiada de recursos nas áreas relacionadas com a proteção à infância e à juventude;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3"/>
        <w:jc w:val="both"/>
        <w:rPr/>
      </w:pPr>
      <w:r>
        <w:rPr>
          <w:rFonts w:eastAsia="Times New Roman" w:cs="Times New Roman" w:ascii="Arial" w:hAnsi="Arial"/>
          <w:b/>
          <w:sz w:val="22"/>
          <w:szCs w:val="22"/>
        </w:rPr>
        <w:t xml:space="preserve">CONSIDERANDO </w:t>
      </w:r>
      <w:r>
        <w:rPr>
          <w:rFonts w:cs="Times New Roman" w:ascii="Arial" w:hAnsi="Arial"/>
          <w:bCs/>
          <w:sz w:val="22"/>
          <w:szCs w:val="22"/>
        </w:rPr>
        <w:t xml:space="preserve">o </w:t>
      </w:r>
      <w:r>
        <w:rPr>
          <w:rFonts w:cs="Times New Roman" w:ascii="Arial" w:hAnsi="Arial"/>
          <w:bCs/>
          <w:color w:val="000000"/>
          <w:sz w:val="22"/>
          <w:szCs w:val="22"/>
        </w:rPr>
        <w:t xml:space="preserve">art. 32, </w:t>
      </w:r>
      <w:r>
        <w:rPr>
          <w:rFonts w:cs="Times New Roman" w:ascii="Arial" w:hAnsi="Arial"/>
          <w:bCs/>
          <w:i/>
          <w:iCs/>
          <w:color w:val="000000"/>
          <w:sz w:val="22"/>
          <w:szCs w:val="22"/>
        </w:rPr>
        <w:t>caput</w:t>
      </w:r>
      <w:r>
        <w:rPr>
          <w:rFonts w:cs="Times New Roman" w:ascii="Arial" w:hAnsi="Arial"/>
          <w:bCs/>
          <w:color w:val="000000"/>
          <w:sz w:val="22"/>
          <w:szCs w:val="22"/>
        </w:rPr>
        <w:t xml:space="preserve">, da Lei nº </w:t>
      </w:r>
      <w:r>
        <w:rPr>
          <w:rStyle w:val="Nfaseforte"/>
          <w:rFonts w:cs="Times New Roman" w:ascii="Arial" w:hAnsi="Arial"/>
          <w:b w:val="false"/>
          <w:bCs w:val="false"/>
          <w:color w:val="000000"/>
          <w:sz w:val="22"/>
          <w:szCs w:val="22"/>
        </w:rPr>
        <w:t xml:space="preserve">Lei nº 14.113/20, </w:t>
      </w:r>
      <w:r>
        <w:rPr>
          <w:rFonts w:cs="Times New Roman" w:ascii="Arial" w:hAnsi="Arial"/>
          <w:bCs/>
          <w:color w:val="000000"/>
          <w:sz w:val="22"/>
          <w:szCs w:val="22"/>
        </w:rPr>
        <w:t>o qual estabelece que “a defesa da ordem jurídica, do regime democrático, dos interesses sociais e individuais indisponíveis, relacionada ao pleno cumprimento desta Lei,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SimSun;宋体" w:cs="Times New Roman" w:ascii="Arial" w:hAnsi="Arial"/>
          <w:bCs/>
          <w:color w:val="000000"/>
          <w:sz w:val="22"/>
          <w:szCs w:val="22"/>
        </w:rPr>
        <w:t>compete ao Ministério Público dos Estados e do Distrito Federal e Territórios e ao Ministério Público Federal, especialmente quanto às transferências</w:t>
      </w:r>
      <w:r>
        <w:rPr>
          <w:rFonts w:eastAsia="Times New Roman" w:cs="Times New Roman" w:ascii="Arial" w:hAnsi="Arial"/>
          <w:sz w:val="22"/>
          <w:szCs w:val="22"/>
        </w:rPr>
        <w:t xml:space="preserve"> de recursos federais”. </w:t>
      </w:r>
    </w:p>
    <w:p>
      <w:pPr>
        <w:pStyle w:val="LOnormal"/>
        <w:widowControl/>
        <w:numPr>
          <w:ilvl w:val="0"/>
          <w:numId w:val="1"/>
        </w:numPr>
        <w:suppressAutoHyphens w:val="true"/>
        <w:bidi w:val="0"/>
        <w:spacing w:lineRule="auto" w:line="360" w:before="57" w:after="57"/>
        <w:ind w:left="0" w:right="0" w:firstLine="1701"/>
        <w:jc w:val="both"/>
        <w:rPr/>
      </w:pPr>
      <w:r>
        <w:rPr>
          <w:rStyle w:val="Nfaseforte"/>
          <w:rFonts w:eastAsia="SimSun;宋体" w:cs="Times New Roman"/>
          <w:sz w:val="22"/>
          <w:szCs w:val="22"/>
          <w:lang w:val="pt-BR"/>
        </w:rPr>
        <w:t xml:space="preserve">CONSIDERANDO </w:t>
      </w:r>
      <w:r>
        <w:rPr>
          <w:rStyle w:val="Nfaseforte"/>
          <w:rFonts w:eastAsia="SimSun;宋体" w:cs="Times New Roman"/>
          <w:b w:val="false"/>
          <w:bCs w:val="false"/>
          <w:sz w:val="22"/>
          <w:szCs w:val="22"/>
          <w:lang w:val="pt-BR"/>
        </w:rPr>
        <w:t>que a</w:t>
      </w:r>
      <w:r>
        <w:rPr>
          <w:rFonts w:eastAsia="SimSun;宋体" w:cs="Times New Roman"/>
          <w:sz w:val="22"/>
          <w:szCs w:val="22"/>
          <w:lang w:val="pt-BR"/>
        </w:rPr>
        <w:t xml:space="preserve"> </w:t>
      </w:r>
      <w:r>
        <w:rPr>
          <w:rFonts w:eastAsia="SimSun;宋体" w:cs="Times New Roman"/>
          <w:b/>
          <w:bCs/>
          <w:sz w:val="22"/>
          <w:szCs w:val="22"/>
          <w:lang w:val="pt-BR"/>
        </w:rPr>
        <w:t>Emenda Constitucional nº 108</w:t>
      </w:r>
      <w:r>
        <w:rPr>
          <w:rFonts w:eastAsia="SimSun;宋体" w:cs="Times New Roman"/>
          <w:sz w:val="22"/>
          <w:szCs w:val="22"/>
          <w:lang w:val="pt-BR"/>
        </w:rPr>
        <w:t xml:space="preserve"> definiu o FUNDEB como uma regra constitucional permanente e incorporou no texto constitucional explicitamente a ideia de participação popular no planejamento e no controle social das políticas públicas, inserindo um parágrafo único no artigo 193 sobre a ordem social: o</w:t>
      </w:r>
      <w:r>
        <w:rPr>
          <w:rStyle w:val="Nfaseforte"/>
          <w:rFonts w:eastAsia="SimSun;宋体" w:cs="Times New Roman"/>
          <w:b/>
          <w:bCs/>
          <w:sz w:val="22"/>
          <w:szCs w:val="22"/>
          <w:lang w:val="pt-BR"/>
        </w:rPr>
        <w:t xml:space="preserve"> “Estado exercerá a função de planejamento das políticas sociais, assegurada, na forma da lei, a participação da sociedade  nos processos de formulação, de monitoramento, de controle e de avaliação dessas políticas.” 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 xml:space="preserve">CONSIDERANDO </w:t>
      </w: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que a Lei nº 14.113/20 (novo FUNDEB) regulamentou o Fundo de Manutenção e Desenvolvimento da Educação Básica e de Valorização da Educação (FUNDEB), de que trata o art. 212-A, da Constituição Federal, e revogou dispositivos da Lei nº 11.494/2007;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sz w:val="22"/>
          <w:szCs w:val="22"/>
        </w:rPr>
        <w:t xml:space="preserve">CONSIDERANDO </w:t>
      </w: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que pela nova legislação e sua regulamentação, através do Decreto nº 10.656, de 23 de março de 2021, no financiamento da educação básica, foram estabelecidos novos parâmetros no que se refere à contabilização dos recursos, além de ter sido dada maior complementação progressiva pela União aos estados e municípios, e incluídos novos profissionais, com observância rigorosa dos respectivos conselhos constituídos, conforme estabelece o art. 33 e 34, IV, da lei do FUNDEB;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4"/>
        <w:jc w:val="both"/>
        <w:rPr/>
      </w:pPr>
      <w:r>
        <w:rPr>
          <w:rStyle w:val="Nfaseforte"/>
          <w:rFonts w:cs="Times New Roman" w:ascii="Arial" w:hAnsi="Arial"/>
          <w:b/>
          <w:bCs/>
          <w:sz w:val="22"/>
          <w:szCs w:val="22"/>
        </w:rPr>
        <w:t>CONSIDERANDO</w:t>
      </w: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 xml:space="preserve"> a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sz w:val="22"/>
          <w:szCs w:val="22"/>
          <w:lang w:eastAsia="pt-BR"/>
        </w:rPr>
        <w:t>Resolução nº 1, de 28 de julho de 2023, expedida pela Comissão Intergovernamental de Financiamento para a Educação Básica de Qualidade (Lei nº 14.113/20, art. 17), atendendo ao disposto no artigo 18, inciso VI, da Lei do FUNDEB, que estabelece as  metodologias de aferição das condicionalidades de melhoria de gestão e dos indicadores para fins  de distribuição da complementação VAAR às redes públicas de ensino, para vigência no exercício  de 2024, e aprova o indicador da Educação Infantil para aplicação do VAAT;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4"/>
        <w:jc w:val="both"/>
        <w:rPr/>
      </w:pPr>
      <w:r>
        <w:rPr>
          <w:rStyle w:val="Nfaseforte"/>
          <w:rFonts w:eastAsia="SimSun;宋体" w:cs="Times New Roman" w:ascii="Arial" w:hAnsi="Arial"/>
          <w:sz w:val="22"/>
          <w:szCs w:val="22"/>
        </w:rPr>
        <w:t>CONSIDERANDO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que a sociedade tem o direito e o dever de colaborar para que o direito à educação se efetive, exercendo de maneira democrática e participativa o controle social e garantindo a correta aplicação dos recursos públicos;</w:t>
      </w:r>
    </w:p>
    <w:p>
      <w:pPr>
        <w:pStyle w:val="Normal"/>
        <w:numPr>
          <w:ilvl w:val="0"/>
          <w:numId w:val="1"/>
        </w:numPr>
        <w:spacing w:lineRule="auto" w:line="360"/>
        <w:ind w:left="0" w:right="0" w:firstLine="1134"/>
        <w:jc w:val="both"/>
        <w:rPr/>
      </w:pPr>
      <w:r>
        <w:rPr>
          <w:rStyle w:val="Nfaseforte"/>
          <w:rFonts w:eastAsia="SimSun;宋体" w:cs="Times New Roman" w:ascii="Arial" w:hAnsi="Arial"/>
          <w:sz w:val="22"/>
          <w:szCs w:val="22"/>
        </w:rPr>
        <w:t>CONSIDERANDO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que questões fundamentais que envolvem as singularidades do “Novo FUNDEB”, tais como volume de distribuição de recursos e regulamentação do custo aluno em relação à qualidade da prestação do serviço educacional, indicam a necessidade de atenção quanto à necessidade de um aprimoramento do controle social;</w:t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200"/>
        <w:ind w:left="0" w:right="0" w:firstLine="1134"/>
        <w:jc w:val="both"/>
        <w:rPr/>
      </w:pPr>
      <w:r>
        <w:rPr>
          <w:rStyle w:val="Nfaseforte"/>
          <w:rFonts w:eastAsia="SimSun;宋体" w:cs="Times New Roman" w:ascii="Arial" w:hAnsi="Arial"/>
          <w:sz w:val="22"/>
          <w:szCs w:val="22"/>
        </w:rPr>
        <w:t>CONSIDERANDO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que o </w:t>
      </w:r>
      <w:r>
        <w:rPr>
          <w:rStyle w:val="Forte"/>
          <w:rFonts w:eastAsia="SimSun;宋体" w:cs="Times New Roman" w:ascii="Arial" w:hAnsi="Arial"/>
          <w:b w:val="false"/>
          <w:bCs w:val="false"/>
          <w:sz w:val="22"/>
          <w:szCs w:val="22"/>
        </w:rPr>
        <w:t>FUNDEB é hoje a principal política de financiamento da educação básica brasileira, sendo essencial o acompanhamento, o monitoramento e a fiscalização de sua execução, a fim de atender às demandas e aos interesses da sociedade;</w:t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200"/>
        <w:ind w:left="0" w:right="0" w:firstLine="1134"/>
        <w:jc w:val="both"/>
        <w:rPr/>
      </w:pPr>
      <w:r>
        <w:rPr>
          <w:rStyle w:val="Forte"/>
          <w:rFonts w:eastAsia="SimSun;宋体" w:cs="Times New Roman" w:ascii="Arial" w:hAnsi="Arial"/>
          <w:b/>
          <w:bCs/>
          <w:color w:val="auto"/>
          <w:kern w:val="2"/>
          <w:sz w:val="22"/>
          <w:szCs w:val="22"/>
          <w:lang w:val="pt-BR" w:eastAsia="zh-CN" w:bidi="hi-IN"/>
        </w:rPr>
        <w:t>CONSIDERANDO</w:t>
      </w:r>
      <w:r>
        <w:rPr>
          <w:rStyle w:val="Forte"/>
          <w:rFonts w:eastAsia="SimSun;宋体" w:cs="Times New Roman" w:ascii="Arial" w:hAnsi="Arial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que os conselhos populares configura-se como mecanismo de participação direta do cidadão na gestão da política pública, compartilhando o poder de decisão entre Estado e sociedade, sendo meio de prevenção da corrupção e de fortalecimento da cidadania;</w:t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200"/>
        <w:ind w:left="0" w:right="0" w:firstLine="1134"/>
        <w:jc w:val="both"/>
        <w:rPr/>
      </w:pPr>
      <w:r>
        <w:rPr>
          <w:rStyle w:val="Nfaseforte"/>
          <w:rFonts w:eastAsia="SimSun;宋体" w:cs="Times New Roman" w:ascii="Arial" w:hAnsi="Arial"/>
          <w:sz w:val="22"/>
          <w:szCs w:val="22"/>
        </w:rPr>
        <w:t>CONSIDERANDO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que</w:t>
      </w:r>
      <w:r>
        <w:rPr>
          <w:rStyle w:val="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o </w:t>
      </w:r>
      <w:r>
        <w:rPr>
          <w:rStyle w:val="Forte"/>
          <w:rFonts w:eastAsia="SimSun;宋体" w:cs="Times New Roman" w:ascii="Arial" w:hAnsi="Arial"/>
          <w:b w:val="false"/>
          <w:bCs w:val="false"/>
          <w:kern w:val="0"/>
          <w:sz w:val="22"/>
          <w:szCs w:val="22"/>
          <w:lang w:eastAsia="pt-BR"/>
        </w:rPr>
        <w:t>Conselho de Acompanhamento e Controle Social do FUNDEB (CACS/FUNDEB)</w:t>
      </w:r>
      <w:r>
        <w:rPr>
          <w:rStyle w:val="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é um colegiado, cuja função primordial é proceder ao acompanhamento e ao controle social sobre a distribuição, a transferência e a aplicação dos recursos e que a sociedade tem o direito e o dever de colaborar para que o direito à educação se efetive, exercendo de maneira democrática e participativa o controle social e garantindo a correta aplicação dos recursos públicos;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8789" w:leader="none"/>
        </w:tabs>
        <w:suppressAutoHyphens w:val="false"/>
        <w:bidi w:val="0"/>
        <w:spacing w:lineRule="auto" w:line="360"/>
        <w:ind w:left="0" w:right="108" w:firstLine="1134"/>
        <w:jc w:val="both"/>
        <w:rPr/>
      </w:pPr>
      <w:r>
        <w:rPr>
          <w:rStyle w:val="Nfaseforte"/>
          <w:rFonts w:eastAsia="SimSun;宋体" w:cs="Times New Roman" w:ascii="Arial" w:hAnsi="Arial"/>
          <w:sz w:val="22"/>
          <w:szCs w:val="22"/>
        </w:rPr>
        <w:t>CONSIDERANDO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que os CACS</w:t>
      </w: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/FUNDEB</w:t>
      </w:r>
      <w:r>
        <w:rPr>
          <w:rStyle w:val="Nfaseforte"/>
          <w:rFonts w:eastAsia="SimSun;宋体" w:cs="Times New Roman" w:ascii="Arial" w:hAnsi="Arial"/>
          <w:b w:val="false"/>
          <w:bCs w:val="false"/>
          <w:sz w:val="22"/>
          <w:szCs w:val="22"/>
        </w:rPr>
        <w:t xml:space="preserve"> devem ser independentes, mas, ao mesmo tempo, funcionar de forma harmônica com os demais órgãos da administração pública</w:t>
      </w: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3710" w:leader="none"/>
        </w:tabs>
        <w:suppressAutoHyphens w:val="false"/>
        <w:spacing w:lineRule="auto" w:line="360" w:before="0" w:after="0"/>
        <w:ind w:left="0" w:right="0" w:firstLine="1134"/>
        <w:jc w:val="both"/>
        <w:rPr>
          <w:rFonts w:ascii="Arial" w:hAnsi="Arial" w:eastAsia="Times New Roman" w:cs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3710" w:leader="none"/>
        </w:tabs>
        <w:suppressAutoHyphens w:val="false"/>
        <w:spacing w:lineRule="auto" w:line="360" w:before="0" w:after="0"/>
        <w:ind w:left="0" w:right="0" w:firstLine="1134"/>
        <w:jc w:val="both"/>
        <w:rPr>
          <w:rFonts w:ascii="Arial" w:hAnsi="Arial" w:eastAsia="Times New Roman" w:cs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3710" w:leader="none"/>
        </w:tabs>
        <w:suppressAutoHyphens w:val="false"/>
        <w:spacing w:lineRule="auto" w:line="360" w:before="0" w:after="0"/>
        <w:ind w:left="0" w:right="0" w:firstLine="1134"/>
        <w:jc w:val="both"/>
        <w:rPr>
          <w:rFonts w:ascii="Arial" w:hAnsi="Arial" w:eastAsia="Times New Roman" w:cs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3710" w:leader="none"/>
        </w:tabs>
        <w:suppressAutoHyphens w:val="false"/>
        <w:spacing w:lineRule="auto" w:line="360" w:before="0" w:after="0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</w:rPr>
        <w:t>RESOLVE</w:t>
      </w:r>
      <w:r>
        <w:rPr>
          <w:rFonts w:eastAsia="Times New Roman" w:cs="Times New Roman" w:ascii="Arial" w:hAnsi="Arial"/>
          <w:sz w:val="22"/>
          <w:szCs w:val="22"/>
        </w:rPr>
        <w:t>:</w:t>
        <w:tab/>
      </w:r>
    </w:p>
    <w:p>
      <w:pPr>
        <w:pStyle w:val="Corpodotexto"/>
        <w:numPr>
          <w:ilvl w:val="0"/>
          <w:numId w:val="1"/>
        </w:numPr>
        <w:suppressAutoHyphens w:val="false"/>
        <w:spacing w:lineRule="auto" w:line="360" w:before="0" w:after="0"/>
        <w:ind w:left="0" w:right="0" w:firstLine="1416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uppressAutoHyphens w:val="false"/>
        <w:spacing w:lineRule="auto" w:line="360" w:before="0" w:after="0"/>
        <w:ind w:left="0" w:right="0" w:firstLine="1134"/>
        <w:jc w:val="both"/>
        <w:rPr/>
      </w:pPr>
      <w:r>
        <w:rPr>
          <w:rFonts w:cs="Times New Roman" w:ascii="Arial" w:hAnsi="Arial"/>
          <w:b/>
          <w:bCs/>
          <w:sz w:val="22"/>
          <w:szCs w:val="22"/>
        </w:rPr>
        <w:t>Art. 1º.</w:t>
      </w:r>
      <w:r>
        <w:rPr>
          <w:rFonts w:cs="Times New Roman" w:ascii="Arial" w:hAnsi="Arial"/>
          <w:sz w:val="22"/>
          <w:szCs w:val="22"/>
        </w:rPr>
        <w:t xml:space="preserve"> Instaurar PROCEDIMENTO ADMINISTRATIVO, sem caráter investigativo – com base nos documentos que ladeiam esta Portaria, tendo por objetivo o acompanhamento </w:t>
      </w:r>
      <w:r>
        <w:rPr>
          <w:rFonts w:cs="Times New Roman" w:ascii="Arial" w:hAnsi="Arial"/>
          <w:color w:val="000000"/>
          <w:sz w:val="22"/>
          <w:szCs w:val="22"/>
        </w:rPr>
        <w:t xml:space="preserve">em relação ao cumprimento, pelo </w:t>
      </w:r>
      <w:r>
        <w:rPr>
          <w:rFonts w:cs="Times New Roman" w:ascii="Arial" w:hAnsi="Arial"/>
          <w:color w:val="000000"/>
          <w:sz w:val="22"/>
          <w:szCs w:val="22"/>
          <w:highlight w:val="yellow"/>
        </w:rPr>
        <w:t>município ******</w:t>
      </w:r>
      <w:r>
        <w:rPr>
          <w:rFonts w:cs="Times New Roman" w:ascii="Arial" w:hAnsi="Arial"/>
          <w:color w:val="000000"/>
          <w:sz w:val="22"/>
          <w:szCs w:val="22"/>
        </w:rPr>
        <w:t xml:space="preserve">, das condicionalidades a serem comprovadas </w:t>
      </w:r>
      <w:r>
        <w:rPr>
          <w:rFonts w:cs="Times New Roman" w:ascii="Arial" w:hAnsi="Arial"/>
          <w:sz w:val="22"/>
          <w:szCs w:val="22"/>
        </w:rPr>
        <w:t xml:space="preserve">junto ao Ministério da Educação, para fins de distribuição da Complementação VAAR, às redes públicas de ensino, para vigência no exercício de 2024, nos termos </w:t>
      </w:r>
      <w:r>
        <w:rPr>
          <w:rStyle w:val="Nfaseforte"/>
          <w:rFonts w:eastAsia="Times New Roman" w:cs="Times New Roman" w:ascii="Arial" w:hAnsi="Arial"/>
          <w:b w:val="false"/>
          <w:bCs w:val="false"/>
          <w:sz w:val="22"/>
          <w:szCs w:val="22"/>
          <w:lang w:eastAsia="pt-BR"/>
        </w:rPr>
        <w:t xml:space="preserve">da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Resolução nº 1, de 28 de julho de 2023, expedida pela Comissão Intergovernamental de Financiamento para a Educação Básica de Qualidade</w:t>
      </w:r>
      <w:r>
        <w:rPr>
          <w:rFonts w:cs="Times New Roman" w:ascii="Arial" w:hAnsi="Arial"/>
          <w:color w:val="1C1C1C"/>
          <w:sz w:val="22"/>
          <w:szCs w:val="22"/>
          <w:highlight w:val="white"/>
          <w:shd w:fill="auto" w:val="clear"/>
        </w:rPr>
        <w:t>.</w:t>
      </w:r>
    </w:p>
    <w:p>
      <w:pPr>
        <w:pStyle w:val="Standard"/>
        <w:numPr>
          <w:ilvl w:val="0"/>
          <w:numId w:val="1"/>
        </w:numPr>
        <w:bidi w:val="0"/>
        <w:spacing w:lineRule="auto" w:line="360"/>
        <w:ind w:left="0" w:right="0" w:firstLine="1134"/>
        <w:jc w:val="both"/>
        <w:rPr>
          <w:rFonts w:ascii="Arial" w:hAnsi="Arial" w:cs="Times New Roman"/>
          <w:color w:val="1C1C1C"/>
          <w:sz w:val="22"/>
          <w:szCs w:val="22"/>
        </w:rPr>
      </w:pPr>
      <w:r>
        <w:rPr>
          <w:rFonts w:cs="Times New Roman" w:ascii="Arial" w:hAnsi="Arial"/>
          <w:color w:val="1C1C1C"/>
          <w:sz w:val="22"/>
          <w:szCs w:val="22"/>
        </w:rPr>
      </w:r>
    </w:p>
    <w:p>
      <w:pPr>
        <w:pStyle w:val="NormalWeb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0"/>
        <w:ind w:left="0" w:right="0" w:firstLine="124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Art. 2º.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cs="Times New Roman" w:ascii="Arial" w:hAnsi="Arial"/>
          <w:sz w:val="22"/>
          <w:szCs w:val="22"/>
        </w:rPr>
        <w:t xml:space="preserve">Nomear </w:t>
      </w:r>
      <w:r>
        <w:rPr>
          <w:rFonts w:cs="Times New Roman" w:ascii="Arial" w:hAnsi="Arial"/>
          <w:color w:val="FF0000"/>
          <w:sz w:val="22"/>
          <w:szCs w:val="22"/>
          <w:highlight w:val="yellow"/>
        </w:rPr>
        <w:t>**********</w:t>
      </w:r>
      <w:r>
        <w:rPr>
          <w:rFonts w:cs="Times New Roman" w:ascii="Arial" w:hAnsi="Arial"/>
          <w:sz w:val="22"/>
          <w:szCs w:val="22"/>
          <w:highlight w:val="yellow"/>
        </w:rPr>
        <w:t>,</w:t>
      </w:r>
      <w:r>
        <w:rPr>
          <w:rFonts w:cs="Times New Roman" w:ascii="Arial" w:hAnsi="Arial"/>
          <w:sz w:val="22"/>
          <w:szCs w:val="22"/>
        </w:rPr>
        <w:t xml:space="preserve"> Técnico(a) Ministerial </w:t>
      </w:r>
      <w:r>
        <w:rPr>
          <w:rFonts w:cs="Times New Roman" w:ascii="Arial" w:hAnsi="Arial"/>
          <w:color w:val="FF0000"/>
          <w:sz w:val="22"/>
          <w:szCs w:val="22"/>
          <w:highlight w:val="yellow"/>
        </w:rPr>
        <w:t>(ou servidor cedido)</w:t>
      </w:r>
      <w:r>
        <w:rPr>
          <w:rFonts w:cs="Times New Roman" w:ascii="Arial" w:hAnsi="Arial"/>
          <w:sz w:val="22"/>
          <w:szCs w:val="22"/>
        </w:rPr>
        <w:t xml:space="preserve"> lotado(a) nesta Promotoria de Justiça, para secretariar os trabalhos e cumprir as diligências, os quais serão desenvolvidos nos autos, razão pela qual determino que se expeça o Termo de Compromisso para ser assinado</w:t>
      </w:r>
      <w:r>
        <w:rPr>
          <w:rFonts w:ascii="Arial" w:hAnsi="Arial"/>
          <w:sz w:val="22"/>
          <w:szCs w:val="22"/>
        </w:rPr>
        <w:t>.</w:t>
      </w:r>
    </w:p>
    <w:p>
      <w:pPr>
        <w:pStyle w:val="PargrafodaLista"/>
        <w:numPr>
          <w:ilvl w:val="0"/>
          <w:numId w:val="1"/>
        </w:numPr>
        <w:ind w:left="708" w:right="0" w:firstLine="1134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Web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0"/>
        <w:ind w:left="0" w:right="0" w:firstLine="1304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Art. 3º. </w:t>
      </w:r>
      <w:r>
        <w:rPr>
          <w:rFonts w:ascii="Arial" w:hAnsi="Arial"/>
          <w:sz w:val="22"/>
          <w:szCs w:val="22"/>
        </w:rPr>
        <w:t xml:space="preserve">Determinar expedição de Ofício à Secretaria Municipal de Educação de </w:t>
      </w:r>
      <w:r>
        <w:rPr>
          <w:rFonts w:ascii="Arial" w:hAnsi="Arial"/>
          <w:sz w:val="22"/>
          <w:szCs w:val="22"/>
          <w:highlight w:val="yellow"/>
        </w:rPr>
        <w:t>**********</w:t>
      </w:r>
      <w:r>
        <w:rPr>
          <w:rFonts w:ascii="Arial" w:hAnsi="Arial"/>
          <w:sz w:val="22"/>
          <w:szCs w:val="22"/>
        </w:rPr>
        <w:t>, requisi</w:t>
      </w:r>
      <w:r>
        <w:rPr>
          <w:rStyle w:val="Nfaseforte"/>
          <w:rFonts w:ascii="Arial" w:hAnsi="Arial"/>
          <w:b w:val="false"/>
          <w:bCs w:val="false"/>
          <w:kern w:val="0"/>
          <w:sz w:val="22"/>
          <w:szCs w:val="22"/>
          <w:lang w:eastAsia="pt-BR"/>
        </w:rPr>
        <w:t xml:space="preserve">tando, no </w:t>
      </w:r>
      <w:r>
        <w:rPr>
          <w:rStyle w:val="Nfaseforte"/>
          <w:rFonts w:ascii="Arial" w:hAnsi="Arial"/>
          <w:b w:val="false"/>
          <w:bCs w:val="false"/>
          <w:kern w:val="0"/>
          <w:sz w:val="22"/>
          <w:szCs w:val="22"/>
          <w:highlight w:val="yellow"/>
          <w:lang w:eastAsia="pt-BR"/>
        </w:rPr>
        <w:t>prazo de *05 (cinco) dias</w:t>
      </w:r>
      <w:r>
        <w:rPr>
          <w:rStyle w:val="Nfaseforte"/>
          <w:rFonts w:ascii="Arial" w:hAnsi="Arial"/>
          <w:b w:val="false"/>
          <w:bCs w:val="false"/>
          <w:kern w:val="0"/>
          <w:sz w:val="22"/>
          <w:szCs w:val="22"/>
          <w:lang w:eastAsia="pt-BR"/>
        </w:rPr>
        <w:t>, as seguintes informações</w:t>
      </w:r>
      <w:r>
        <w:rPr>
          <w:rFonts w:ascii="Arial" w:hAnsi="Arial"/>
          <w:sz w:val="22"/>
          <w:szCs w:val="22"/>
        </w:rPr>
        <w:t>: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A)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 Documentos comprobatórios  e informações pormenorizadas das etapas concluídas, quanto à </w:t>
      </w: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implementação da gestão democrática para provimento do cargo de diretor escolar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, nos termos do Parágrafo único, do art. 1º, da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Resolução nº 1, de 28 de julho de 2023, expedida pela Comissão Intergovernamental de Financiamento para a Educação Básica de Qualidade: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>
          <w:rStyle w:val="Fontepargpadro5"/>
          <w:rFonts w:ascii="Arial" w:hAnsi="Arial" w:eastAsia="Times New Roman" w:cs="Times New Roman"/>
          <w:b w:val="false"/>
          <w:b w:val="false"/>
          <w:bCs/>
          <w:color w:val="00000A"/>
          <w:kern w:val="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1. Ato Normativo (Lei, Decreto, Portaria, Resolução);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2. Edital de seleção de diretores ou documento equivalente, que configure processo seletivo;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3. Ata de resultado do Processo;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Fontepargpadro5"/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  <w:t>4. Termos de Posse de Diretores Escolares.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>
          <w:rStyle w:val="Fontepargpadro5"/>
          <w:rFonts w:ascii="Arial" w:hAnsi="Arial" w:eastAsia="Times New Roman" w:cs="Times New Roman"/>
          <w:b w:val="false"/>
          <w:b w:val="false"/>
          <w:bCs/>
          <w:color w:val="00000A"/>
          <w:kern w:val="0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/>
          <w:color w:val="00000A"/>
          <w:kern w:val="0"/>
          <w:sz w:val="22"/>
          <w:szCs w:val="22"/>
          <w:lang w:eastAsia="pt-BR"/>
        </w:rPr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>B)</w:t>
      </w:r>
      <w:r>
        <w:rPr>
          <w:rFonts w:eastAsia="Times New Roman" w:cs="Times New Roman" w:ascii="Arial" w:hAnsi="Arial"/>
          <w:color w:val="000000"/>
          <w:kern w:val="0"/>
          <w:sz w:val="22"/>
          <w:szCs w:val="22"/>
          <w:lang w:eastAsia="pt-BR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color w:val="000000"/>
          <w:kern w:val="0"/>
          <w:sz w:val="22"/>
          <w:szCs w:val="22"/>
          <w:lang w:eastAsia="pt-BR"/>
        </w:rPr>
        <w:t xml:space="preserve">Documentos comprobatórios quanto ao cumprimento, pela rede de ensino do município, da condicionalidade prevista no inciso V, do §1º do art. 14 da Lei nº 14.113/2020, que trata dos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referenciais curriculares alinhados à Base Nacional Comum Curricular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, com o respectivo parecer de Homologação emitido pelo do Conselho de Educação e Ato de Homologação (se couber) ou outro documento oficial válido, no caso de adesão do município ao currículo estadual, nos termos do item “2”, 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>do art. 1º do Anexo I, da Resolução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 citada no item “A”: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>
          <w:rStyle w:val="Nfaseforte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1. Referencial Curricular da Rede de Ensino alinhado à BNCC;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2. Documento de Homologação emitida pelo Conselho Municipal de Educação(para municípios com Sistema de Ensino Próprio);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3. Termo de Colaboração com o Sistema Estadual de Ensino, conforme do Art. 11, Parágrafo Único da LDB (para municípios sem Sistema de Ensino Próprio);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4. Documento de Homologação emitida pelo Conselho Estadual de Educação (para municípios sem Sistema de Ensino Próprio);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5. Documento de Reorganização Curricular das Unidades Escolares.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>
          <w:rStyle w:val="Nfaseforte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val="pt-BR" w:eastAsia="pt-BR" w:bidi="hi-IN"/>
        </w:rPr>
        <w:t>C</w:t>
      </w:r>
      <w:r>
        <w:rPr>
          <w:rStyle w:val="Nfaseforte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eastAsia="pt-BR"/>
        </w:rPr>
        <w:t>)</w:t>
      </w:r>
      <w:r>
        <w:rPr>
          <w:rStyle w:val="Nfaseforte"/>
          <w:rFonts w:eastAsia="Times New Roman" w:cs="Times New Roman" w:ascii="Arial" w:hAnsi="Arial"/>
          <w:b w:val="false"/>
          <w:bCs w:val="false"/>
          <w:color w:val="00000A"/>
          <w:kern w:val="0"/>
          <w:sz w:val="22"/>
          <w:szCs w:val="22"/>
          <w:lang w:eastAsia="pt-BR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Situação de regularidade do município junto ao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Sistema Integrado de Monitoramento, Execução e Controle do Ministério da Educação (SIMEC)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, com o envio do respectivo documento comprobatório, bem como de cópia do Ato Declaratório indicado no item “5”, do art. 1º do Anexo I, da Resolução citada no item “A”.</w:t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/>
      </w:r>
    </w:p>
    <w:p>
      <w:pPr>
        <w:pStyle w:val="PargrafodaLista"/>
        <w:widowControl w:val="false"/>
        <w:numPr>
          <w:ilvl w:val="0"/>
          <w:numId w:val="1"/>
        </w:numPr>
        <w:spacing w:lineRule="auto" w:line="360" w:before="0" w:after="0"/>
        <w:ind w:left="792" w:right="0" w:hanging="0"/>
        <w:jc w:val="both"/>
        <w:textAlignment w:val="baseline"/>
        <w:rPr/>
      </w:pPr>
      <w:r>
        <w:rPr>
          <w:rStyle w:val="Nfaseforte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>D)</w:t>
      </w: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val="pt-BR" w:eastAsia="pt-BR" w:bidi="hi-IN"/>
        </w:rPr>
        <w:t xml:space="preserve"> 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Expediente de resposta encaminhado e assinado pelo dirigente máximo da Secretaria Estadual ou Municipal de Educação, atestando a </w:t>
      </w:r>
      <w:r>
        <w:rPr>
          <w:rStyle w:val="Fontepargpadro5"/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>veracidade das informações</w:t>
      </w:r>
      <w:r>
        <w:rPr>
          <w:rStyle w:val="Fontepargpadro5"/>
          <w:rFonts w:eastAsia="Times New Roman" w:cs="Times New Roman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hi-IN"/>
        </w:rPr>
        <w:t xml:space="preserve"> prestadas.</w:t>
      </w:r>
    </w:p>
    <w:p>
      <w:pPr>
        <w:pStyle w:val="PargrafodaLista"/>
        <w:widowControl w:val="false"/>
        <w:numPr>
          <w:ilvl w:val="1"/>
          <w:numId w:val="1"/>
        </w:numPr>
        <w:spacing w:lineRule="auto" w:line="360" w:before="0" w:after="0"/>
        <w:ind w:left="720" w:right="0" w:hanging="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numPr>
          <w:ilvl w:val="1"/>
          <w:numId w:val="1"/>
        </w:numPr>
        <w:spacing w:lineRule="auto" w:line="360" w:before="0" w:after="0"/>
        <w:ind w:left="0" w:right="0" w:firstLine="1134"/>
        <w:jc w:val="both"/>
        <w:rPr/>
      </w:pPr>
      <w:r>
        <w:rPr>
          <w:rStyle w:val="Nfaseforte"/>
          <w:rFonts w:ascii="Arial" w:hAnsi="Arial"/>
          <w:kern w:val="0"/>
          <w:sz w:val="22"/>
          <w:szCs w:val="22"/>
          <w:lang w:eastAsia="pt-BR"/>
        </w:rPr>
        <w:t xml:space="preserve">Art. 4º. </w:t>
      </w:r>
      <w:r>
        <w:rPr>
          <w:rStyle w:val="Nfaseforte"/>
          <w:rFonts w:ascii="Arial" w:hAnsi="Arial"/>
          <w:b w:val="false"/>
          <w:bCs w:val="false"/>
          <w:kern w:val="0"/>
          <w:sz w:val="22"/>
          <w:szCs w:val="22"/>
          <w:lang w:eastAsia="pt-BR"/>
        </w:rPr>
        <w:t xml:space="preserve">Determinar expedição de Ofício ao </w:t>
      </w:r>
      <w:r>
        <w:rPr>
          <w:rStyle w:val="Nfaseforte"/>
          <w:rFonts w:cs="Times New Roman" w:ascii="Arial" w:hAnsi="Arial"/>
          <w:b w:val="false"/>
          <w:bCs w:val="false"/>
          <w:kern w:val="0"/>
          <w:sz w:val="22"/>
          <w:szCs w:val="22"/>
          <w:lang w:eastAsia="pt-BR"/>
        </w:rPr>
        <w:t xml:space="preserve">Conselho Municipal de Acompanhamento e Controle Social (CACS/FUNDEB), do </w:t>
      </w:r>
      <w:r>
        <w:rPr>
          <w:rStyle w:val="Nfaseforte"/>
          <w:rFonts w:cs="Times New Roman" w:ascii="Arial" w:hAnsi="Arial"/>
          <w:b w:val="false"/>
          <w:bCs w:val="false"/>
          <w:kern w:val="0"/>
          <w:sz w:val="22"/>
          <w:szCs w:val="22"/>
          <w:highlight w:val="yellow"/>
          <w:lang w:eastAsia="pt-BR"/>
        </w:rPr>
        <w:t>município ******,</w:t>
      </w:r>
      <w:r>
        <w:rPr>
          <w:rStyle w:val="Nfaseforte"/>
          <w:rFonts w:cs="Times New Roman" w:ascii="Arial" w:hAnsi="Arial"/>
          <w:b w:val="false"/>
          <w:bCs w:val="false"/>
          <w:kern w:val="0"/>
          <w:sz w:val="22"/>
          <w:szCs w:val="22"/>
          <w:lang w:eastAsia="pt-BR"/>
        </w:rPr>
        <w:t xml:space="preserve"> </w:t>
      </w:r>
      <w:r>
        <w:rPr>
          <w:rStyle w:val="Nfaseforte"/>
          <w:rFonts w:ascii="Arial" w:hAnsi="Arial"/>
          <w:b w:val="false"/>
          <w:bCs w:val="false"/>
          <w:kern w:val="0"/>
          <w:sz w:val="22"/>
          <w:szCs w:val="22"/>
          <w:lang w:eastAsia="pt-BR"/>
        </w:rPr>
        <w:t xml:space="preserve">para que informe as deliberações relativas ao acompanhamento </w:t>
      </w:r>
      <w:r>
        <w:rPr>
          <w:rStyle w:val="Nfaseforte"/>
          <w:rFonts w:cs="Times New Roman" w:ascii="Arial" w:hAnsi="Arial"/>
          <w:b w:val="false"/>
          <w:bCs w:val="false"/>
          <w:color w:val="000000"/>
          <w:kern w:val="0"/>
          <w:sz w:val="22"/>
          <w:szCs w:val="22"/>
          <w:lang w:eastAsia="pt-BR"/>
        </w:rPr>
        <w:t xml:space="preserve">desse colegiado em relação ao cumprimento, pelo município, das condicionalidades a serem comprovadas </w:t>
      </w:r>
      <w:r>
        <w:rPr>
          <w:rStyle w:val="Nfaseforte"/>
          <w:rFonts w:cs="Times New Roman" w:ascii="Arial" w:hAnsi="Arial"/>
          <w:b w:val="false"/>
          <w:bCs w:val="false"/>
          <w:kern w:val="0"/>
          <w:sz w:val="22"/>
          <w:szCs w:val="22"/>
          <w:lang w:eastAsia="pt-BR"/>
        </w:rPr>
        <w:t>junto ao Ministério da Educação, para fins de distribuição da Complementação VAAR, às redes públicas de ensino, para vigência no exercício de 2024, quais sejam: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 xml:space="preserve">A . 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 Implementação da </w:t>
      </w: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gestão democrática para provimento do cargo de diretor escolar: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possuem Sistema de Ensino Próprio: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CME da construção da política pública – participação na construção dos parâmetros do ato oficial que institui o processo de gestão democrática para provimento do cargo de diretor escolar – Lei, Decreto ou Portaria;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overflowPunct w:val="true"/>
        <w:bidi w:val="0"/>
        <w:spacing w:lineRule="auto" w:line="360" w:before="0" w:after="0"/>
        <w:jc w:val="both"/>
        <w:rPr/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CME da construção d</w:t>
      </w:r>
      <w:r>
        <w:rPr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 xml:space="preserve">o Edital de seleção de diretores escolares, em especial dos critérios técnicos de mérito e desempenho ou consulta pública à comunidade escolar, precedida de análise dos critérios técnicos de mérito e desempenho; 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procedimento de escolha dos diretores escolares;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Arial" w:hAnsi="Arial"/>
          <w:b w:val="false"/>
          <w:bCs w:val="false"/>
          <w:i/>
          <w:iCs/>
          <w:color w:val="000000"/>
          <w:kern w:val="0"/>
          <w:sz w:val="20"/>
          <w:szCs w:val="20"/>
        </w:rPr>
        <w:t xml:space="preserve">Apresentar documentos que evidenciem a participação do colegiado – Pareceres, Resoluções, Apreciações e/ou Atas.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1097" w:hanging="0"/>
        <w:jc w:val="both"/>
        <w:rPr>
          <w:rFonts w:ascii="Arial" w:hAnsi="Arial" w:cs="Times New Roman"/>
          <w:color w:val="000000"/>
          <w:kern w:val="0"/>
        </w:rPr>
      </w:pPr>
      <w:r>
        <w:rPr>
          <w:rFonts w:cs="Times New Roman" w:ascii="Arial" w:hAnsi="Arial"/>
          <w:color w:val="000000"/>
          <w:kern w:val="0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não possuem Sistema de Ensino Próprio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, o Conselho Municipal de Educação deve :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Apresentar documentos que evidenciem a participação do colegiado – Pareceres, Resoluções, Apreciações e/ou Atas. 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/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Orientações do </w:t>
      </w:r>
      <w:r>
        <w:rPr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>Sistema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 Estadual de Educação para cumprimento da condicionalidade.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 w:val="false"/>
          <w:bCs w:val="false"/>
          <w:color w:val="000000"/>
          <w:kern w:val="0"/>
          <w:sz w:val="22"/>
          <w:szCs w:val="22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 xml:space="preserve">B. 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Aprovação dos </w:t>
      </w:r>
      <w:r>
        <w:rPr>
          <w:rStyle w:val="Nfaseforte"/>
          <w:rFonts w:eastAsia="Times New Roman" w:cs="Times New Roman" w:ascii="Arial" w:hAnsi="Arial"/>
          <w:sz w:val="22"/>
          <w:szCs w:val="22"/>
          <w:lang w:eastAsia="pt-BR"/>
        </w:rPr>
        <w:t>referenciais curriculares alinhados à Base Nacional Comum Curricular (BNCC)</w:t>
      </w:r>
      <w:r>
        <w:rPr>
          <w:rStyle w:val="Nfaseforte"/>
          <w:rFonts w:eastAsia="Times New Roman" w:cs="Times New Roman" w:ascii="Arial" w:hAnsi="Arial"/>
          <w:b w:val="false"/>
          <w:bCs w:val="false"/>
          <w:sz w:val="22"/>
          <w:szCs w:val="22"/>
          <w:lang w:eastAsia="pt-BR"/>
        </w:rPr>
        <w:t>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rStyle w:val="Nfaseforte"/>
          <w:rFonts w:ascii="Arial" w:hAnsi="Arial" w:eastAsia="Times New Roman" w:cs="Times New Roman"/>
          <w:b w:val="false"/>
          <w:b w:val="false"/>
          <w:bCs w:val="false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 w:val="false"/>
          <w:sz w:val="22"/>
          <w:szCs w:val="22"/>
          <w:lang w:eastAsia="pt-B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b w:val="false"/>
          <w:b w:val="false"/>
          <w:bCs w:val="false"/>
        </w:rPr>
      </w:pPr>
      <w:r>
        <w:rPr>
          <w:rStyle w:val="Nfaseforte"/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>Municípios que possuem Sistema de Ensino Próprio: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análise e homologação do Referencial Curricular da Municipal;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Arial" w:hAnsi="Arial"/>
          <w:b w:val="false"/>
          <w:bCs w:val="false"/>
          <w:i/>
          <w:iCs/>
          <w:color w:val="000000"/>
          <w:kern w:val="0"/>
          <w:sz w:val="20"/>
          <w:szCs w:val="20"/>
        </w:rPr>
        <w:t xml:space="preserve">Apresentar documentos que evidenciem a participação do colegiado na apreciação do Referencial Curricular da Rede de Ensino– Pareceres, Resoluções, Apreciações e/ou Atas.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rFonts w:ascii="Arial" w:hAnsi="Arial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94" w:right="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não possuem Sistema de Ensino Próprio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, o Conselho Municipal de Educação deve 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Apresentar documentos que evidenciem a participação do colegiado na apreciação do Referencial Curricular da Rede de Ensino– Pareceres, Resoluções, Apreciações e/ou Atas.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Style w:val="Nfaseforte"/>
          <w:rFonts w:eastAsia="Times New Roman" w:cs="Times New Roman" w:ascii="Arial" w:hAnsi="Arial"/>
          <w:b w:val="false"/>
          <w:bCs w:val="false"/>
          <w:color w:val="000000"/>
          <w:kern w:val="0"/>
          <w:sz w:val="22"/>
          <w:szCs w:val="22"/>
          <w:lang w:eastAsia="pt-BR"/>
        </w:rPr>
        <w:t xml:space="preserve">Orientações do </w:t>
      </w:r>
      <w:r>
        <w:rPr>
          <w:rStyle w:val="Nfaseforte"/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>Sistema</w:t>
      </w:r>
      <w:r>
        <w:rPr>
          <w:rStyle w:val="Nfaseforte"/>
          <w:rFonts w:eastAsia="Times New Roman" w:cs="Times New Roman" w:ascii="Arial" w:hAnsi="Arial"/>
          <w:b w:val="false"/>
          <w:bCs w:val="false"/>
          <w:color w:val="000000"/>
          <w:kern w:val="0"/>
          <w:sz w:val="22"/>
          <w:szCs w:val="22"/>
          <w:lang w:eastAsia="pt-BR"/>
        </w:rPr>
        <w:t xml:space="preserve"> Estadual de Educação para cumprimento da condicionalidade. </w:t>
      </w:r>
    </w:p>
    <w:p>
      <w:pPr>
        <w:pStyle w:val="NormalWeb"/>
        <w:numPr>
          <w:ilvl w:val="1"/>
          <w:numId w:val="1"/>
        </w:numPr>
        <w:spacing w:lineRule="auto" w:line="360" w:before="0" w:after="0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Art. 5º.</w:t>
      </w:r>
      <w:r>
        <w:rPr>
          <w:rFonts w:ascii="Arial" w:hAnsi="Arial"/>
          <w:color w:val="000000"/>
          <w:sz w:val="22"/>
          <w:szCs w:val="22"/>
        </w:rPr>
        <w:t xml:space="preserve"> Determinar a remessa de cópia ao Centro de Apoio Operacional de Apoio à Infância, Juventude e  Educação, para conhecimento.</w:t>
      </w:r>
    </w:p>
    <w:p>
      <w:pPr>
        <w:pStyle w:val="Normal"/>
        <w:numPr>
          <w:ilvl w:val="0"/>
          <w:numId w:val="1"/>
        </w:numPr>
        <w:spacing w:lineRule="auto" w:line="360" w:before="60" w:after="60"/>
        <w:ind w:left="0" w:right="0" w:firstLine="1134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color w:val="000000"/>
          <w:sz w:val="22"/>
          <w:szCs w:val="22"/>
        </w:rPr>
        <w:t>Registre-se. Publique-se. Cumpra-se</w:t>
      </w:r>
      <w:r>
        <w:rPr>
          <w:rFonts w:eastAsia="Times New Roman" w:cs="Times New Roman" w:ascii="Arial" w:hAnsi="Arial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60" w:after="60"/>
        <w:ind w:left="0" w:right="0" w:firstLine="1134"/>
        <w:jc w:val="both"/>
        <w:rPr>
          <w:rFonts w:ascii="Arial" w:hAnsi="Arial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Arial" w:hAnsi="Arial"/>
          <w:color w:val="000000"/>
          <w:sz w:val="22"/>
          <w:szCs w:val="22"/>
        </w:rPr>
        <w:t>Expedientes necessários.</w:t>
      </w:r>
    </w:p>
    <w:p>
      <w:pPr>
        <w:pStyle w:val="Western"/>
        <w:numPr>
          <w:ilvl w:val="0"/>
          <w:numId w:val="1"/>
        </w:numPr>
        <w:spacing w:lineRule="auto" w:line="360" w:before="113" w:after="113"/>
        <w:jc w:val="right"/>
        <w:rPr>
          <w:rFonts w:ascii="Arial" w:hAnsi="Arial" w:cs="Times New Roman"/>
          <w:color w:val="FF0000"/>
          <w:sz w:val="22"/>
          <w:szCs w:val="22"/>
          <w:highlight w:val="yellow"/>
        </w:rPr>
      </w:pPr>
      <w:r>
        <w:rPr>
          <w:rFonts w:cs="Times New Roman" w:ascii="Arial" w:hAnsi="Arial"/>
          <w:color w:val="FF0000"/>
          <w:sz w:val="22"/>
          <w:szCs w:val="22"/>
          <w:highlight w:val="yellow"/>
        </w:rPr>
        <w:t>*Local e data.</w:t>
      </w:r>
    </w:p>
    <w:p>
      <w:pPr>
        <w:pStyle w:val="Western"/>
        <w:numPr>
          <w:ilvl w:val="0"/>
          <w:numId w:val="1"/>
        </w:numPr>
        <w:spacing w:lineRule="auto" w:line="240" w:before="113" w:after="113"/>
        <w:jc w:val="center"/>
        <w:rPr>
          <w:rFonts w:ascii="Arial" w:hAnsi="Arial" w:cs="Times New Roman"/>
          <w:color w:val="FF0000"/>
          <w:sz w:val="22"/>
          <w:szCs w:val="22"/>
          <w:highlight w:val="yellow"/>
        </w:rPr>
      </w:pPr>
      <w:r>
        <w:rPr>
          <w:rFonts w:cs="Times New Roman" w:ascii="Arial" w:hAnsi="Arial"/>
          <w:color w:val="FF0000"/>
          <w:sz w:val="22"/>
          <w:szCs w:val="22"/>
          <w:highlight w:val="yellow"/>
        </w:rPr>
        <w:t>********************</w:t>
      </w:r>
    </w:p>
    <w:p>
      <w:pPr>
        <w:pStyle w:val="Standard"/>
        <w:numPr>
          <w:ilvl w:val="0"/>
          <w:numId w:val="1"/>
        </w:numPr>
        <w:spacing w:lineRule="auto" w:line="360" w:before="0" w:after="0"/>
        <w:ind w:left="0" w:right="0" w:firstLine="1134"/>
        <w:jc w:val="center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Promotor de Justiça</w:t>
      </w:r>
    </w:p>
    <w:p>
      <w:pPr>
        <w:pStyle w:val="Western"/>
        <w:numPr>
          <w:ilvl w:val="0"/>
          <w:numId w:val="1"/>
        </w:numPr>
        <w:spacing w:lineRule="auto" w:line="360" w:before="113" w:after="113"/>
        <w:jc w:val="center"/>
        <w:rPr>
          <w:rFonts w:ascii="Arial" w:hAnsi="Arial" w:eastAsia="Times New Roman" w:cs="Times New Roman"/>
          <w:b/>
          <w:b/>
          <w:color w:val="000000"/>
          <w:sz w:val="22"/>
          <w:szCs w:val="22"/>
          <w:lang w:bidi="ar-S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815" w:footer="235" w:bottom="130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mc:AlternateContent>
        <mc:Choice Requires="wps">
          <w:drawing>
            <wp:anchor behindDoc="1" distT="13970" distB="13970" distL="13970" distR="13970" simplePos="0" locked="0" layoutInCell="0" allowOverlap="1" relativeHeight="8">
              <wp:simplePos x="0" y="0"/>
              <wp:positionH relativeFrom="column">
                <wp:posOffset>-262255</wp:posOffset>
              </wp:positionH>
              <wp:positionV relativeFrom="paragraph">
                <wp:posOffset>122555</wp:posOffset>
              </wp:positionV>
              <wp:extent cx="6537960" cy="6985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7240" cy="648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0.65pt,9.65pt" to="494.05pt,10.1pt" ID="Forma2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Rodap"/>
      <w:widowControl w:val="false"/>
      <w:overflowPunct w:val="false"/>
      <w:bidi w:val="0"/>
      <w:spacing w:lineRule="auto" w:line="240"/>
      <w:ind w:left="-454" w:right="0" w:hanging="0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  <w:t>Endereço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2419985</wp:posOffset>
          </wp:positionH>
          <wp:positionV relativeFrom="paragraph">
            <wp:posOffset>-382270</wp:posOffset>
          </wp:positionV>
          <wp:extent cx="1369060" cy="652145"/>
          <wp:effectExtent l="0" t="0" r="0" b="0"/>
          <wp:wrapSquare wrapText="bothSides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23" r="-1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20"/>
        <w:szCs w:val="20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20"/>
        <w:szCs w:val="20"/>
        <w:u w:val="none"/>
        <w:lang w:val="pt-BR" w:eastAsia="zxx" w:bidi="ar-SA"/>
      </w:rPr>
      <mc:AlternateContent>
        <mc:Choice Requires="wps">
          <w:drawing>
            <wp:anchor behindDoc="1" distT="13970" distB="13970" distL="13970" distR="13970" simplePos="0" locked="0" layoutInCell="0" allowOverlap="1" relativeHeight="15">
              <wp:simplePos x="0" y="0"/>
              <wp:positionH relativeFrom="column">
                <wp:posOffset>-196215</wp:posOffset>
              </wp:positionH>
              <wp:positionV relativeFrom="paragraph">
                <wp:posOffset>188595</wp:posOffset>
              </wp:positionV>
              <wp:extent cx="6537960" cy="6985"/>
              <wp:effectExtent l="0" t="0" r="0" b="0"/>
              <wp:wrapNone/>
              <wp:docPr id="2" name="Forma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7240" cy="648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5.45pt,14.85pt" to="499.25pt,15.3pt" ID="Forma2_0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kern w:val="0"/>
        <w:szCs w:val="24"/>
        <w:bCs w:val="false"/>
        <w:highlight w:val="yellow"/>
        <w:rFonts w:eastAsia="Times New Roman" w:cs="Times New Roman"/>
        <w:lang w:eastAsia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4"/>
        </w:tabs>
        <w:ind w:left="15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4"/>
        </w:tabs>
        <w:ind w:left="22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4"/>
        </w:tabs>
        <w:ind w:left="25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4"/>
        </w:tabs>
        <w:ind w:left="36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4"/>
        </w:tabs>
        <w:ind w:left="15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4"/>
        </w:tabs>
        <w:ind w:left="22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4"/>
        </w:tabs>
        <w:ind w:left="25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4"/>
        </w:tabs>
        <w:ind w:left="36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Hindi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tulo5">
    <w:name w:val="Heading 5"/>
    <w:basedOn w:val="Ttulo"/>
    <w:qFormat/>
    <w:pPr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Character20style">
    <w:name w:val="Character_20_style"/>
    <w:qFormat/>
    <w:rPr/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 w:val="false"/>
      <w:kern w:val="0"/>
      <w:sz w:val="24"/>
      <w:szCs w:val="24"/>
      <w:lang w:eastAsia="pt-B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>
      <w:rFonts w:cs="Arial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eastAsia="pt-B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rte1">
    <w:name w:val="Forte1"/>
    <w:qFormat/>
    <w:rPr>
      <w:b/>
      <w:bCs/>
    </w:rPr>
  </w:style>
  <w:style w:type="character" w:styleId="Fontepargpadro5">
    <w:name w:val="Fonte parág. padrão5"/>
    <w:qFormat/>
    <w:rPr/>
  </w:style>
  <w:style w:type="character" w:styleId="Forte">
    <w:name w:val="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qFormat/>
    <w:pPr>
      <w:spacing w:before="60" w:after="120"/>
      <w:jc w:val="center"/>
    </w:pPr>
    <w:rPr>
      <w:sz w:val="36"/>
      <w:szCs w:val="36"/>
    </w:rPr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oquadro">
    <w:name w:val="Conteúdo do quadro"/>
    <w:basedOn w:val="Normal"/>
    <w:qFormat/>
    <w:pPr/>
    <w:rPr/>
  </w:style>
  <w:style w:type="paragraph" w:styleId="Notaderodap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Lohit Hindi"/>
      <w:color w:val="00000A"/>
      <w:kern w:val="2"/>
      <w:sz w:val="20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ind w:left="720" w:right="0" w:hanging="0"/>
    </w:pPr>
    <w:rPr/>
  </w:style>
  <w:style w:type="paragraph" w:styleId="Western">
    <w:name w:val="western"/>
    <w:basedOn w:val="Normal"/>
    <w:qFormat/>
    <w:pPr>
      <w:spacing w:lineRule="auto" w:line="276" w:before="280" w:after="119"/>
    </w:pPr>
    <w:rPr>
      <w:rFonts w:ascii="Calibri" w:hAnsi="Calibri" w:eastAsia="SimSun;宋体" w:cs="Calibri"/>
      <w:color w:val="00000A"/>
      <w:sz w:val="22"/>
      <w:szCs w:val="22"/>
      <w:lang w:bidi="ar-SA"/>
    </w:rPr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void(0)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12955</TotalTime>
  <Application>LibreOffice/7.2.6.2$Windows_X86_64 LibreOffice_project/b0ec3a565991f7569a5a7f5d24fed7f52653d754</Application>
  <AppVersion>15.0000</AppVersion>
  <Pages>4</Pages>
  <Words>2159</Words>
  <Characters>12134</Characters>
  <CharactersWithSpaces>14242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2017-03-20T14:39:43Z</dcterms:created>
  <dc:creator/>
  <dc:description/>
  <dc:language>pt-BR</dc:language>
  <cp:lastModifiedBy/>
  <cp:lastPrinted>2021-07-08T16:56:53Z</cp:lastPrinted>
  <dcterms:modified xsi:type="dcterms:W3CDTF">2023-08-15T15:33:50Z</dcterms:modified>
  <cp:revision>117</cp:revision>
  <dc:subject/>
  <dc:title/>
</cp:coreProperties>
</file>