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Prestação de Contas Anua</w:t>
      </w:r>
      <w:r>
        <w:rPr>
          <w:rFonts w:eastAsia="Cambria" w:cs="Cambria" w:ascii="Cambria" w:hAnsi="Cambria"/>
          <w:b/>
          <w:sz w:val="24"/>
          <w:szCs w:val="24"/>
        </w:rPr>
        <w:t>l</w:t>
      </w:r>
    </w:p>
    <w:p>
      <w:pPr>
        <w:pStyle w:val="Normal1"/>
        <w:widowControl w:val="false"/>
        <w:numPr>
          <w:ilvl w:val="0"/>
          <w:numId w:val="2"/>
        </w:numPr>
        <w:spacing w:lineRule="auto" w:line="360"/>
        <w:ind w:left="0" w:hanging="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Autos n.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Partido: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Modelo MPMS adaptado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MM. </w:t>
      </w:r>
      <w:r>
        <w:rPr>
          <w:rFonts w:eastAsia="Cambria" w:cs="Cambria" w:ascii="Cambria" w:hAnsi="Cambria"/>
          <w:b/>
          <w:sz w:val="24"/>
          <w:szCs w:val="24"/>
        </w:rPr>
        <w:t>J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uiz(a),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Trata-se de prestação de contas apresentadas pelo partido requerente, referente à movimentação financeira do ano de </w:t>
      </w:r>
      <w:r>
        <w:rPr>
          <w:rFonts w:eastAsia="Cambria" w:cs="Cambria" w:ascii="Cambria" w:hAnsi="Cambria"/>
          <w:position w:val="0"/>
          <w:sz w:val="24"/>
          <w:sz w:val="24"/>
          <w:szCs w:val="24"/>
          <w:highlight w:val="yellow"/>
          <w:vertAlign w:val="baseline"/>
        </w:rPr>
        <w:t>XXXX.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Não houve impugnação no prazo legal.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As referidas contas foram submetidas ao procedimento técnico de exame da Justiça Eleitoral, não sendo constatada </w:t>
      </w:r>
      <w:r>
        <w:rPr>
          <w:rFonts w:eastAsia="Cambria" w:cs="Cambria" w:ascii="Cambria" w:hAnsi="Cambria"/>
          <w:sz w:val="24"/>
          <w:szCs w:val="24"/>
        </w:rPr>
        <w:t>qualquer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irregularidade que </w:t>
      </w:r>
      <w:r>
        <w:rPr>
          <w:rFonts w:eastAsia="Cambria" w:cs="Cambria" w:ascii="Cambria" w:hAnsi="Cambria"/>
          <w:sz w:val="24"/>
          <w:szCs w:val="24"/>
        </w:rPr>
        <w:t>comprometa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sua aprovação.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Em </w:t>
      </w:r>
      <w:r>
        <w:rPr>
          <w:rFonts w:eastAsia="Cambria" w:cs="Cambria" w:ascii="Cambria" w:hAnsi="Cambria"/>
          <w:sz w:val="24"/>
          <w:szCs w:val="24"/>
        </w:rPr>
        <w:t>relatório técnico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, o servidor da Justiça Eleitoral concluiu que a prestação de contas está apta à aprovação.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Com vista dos autos, o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Ministério Público Eleitoral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passa a se manifestar.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Compulsando os autos, é possível constatar que o Partido apresentou a prestação de contas conforme exige a legislação eleitoral em vigor, notadamente a Lei 9.096/95 e  a </w:t>
      </w:r>
      <w:r>
        <w:rPr>
          <w:rFonts w:eastAsia="Cambria" w:cs="Cambria" w:ascii="Cambria" w:hAnsi="Cambria"/>
          <w:sz w:val="24"/>
          <w:szCs w:val="24"/>
        </w:rPr>
        <w:t>R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esolução TSE</w:t>
      </w:r>
      <w:r>
        <w:rPr>
          <w:rFonts w:eastAsia="Cambria" w:cs="Cambria" w:ascii="Cambria" w:hAnsi="Cambria"/>
          <w:sz w:val="24"/>
          <w:szCs w:val="24"/>
        </w:rPr>
        <w:t xml:space="preserve"> 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23.604/2019.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Na análise das referidas contas, </w:t>
      </w:r>
      <w:r>
        <w:rPr>
          <w:rFonts w:eastAsia="Cambria" w:cs="Cambria" w:ascii="Cambria" w:hAnsi="Cambria"/>
          <w:sz w:val="24"/>
          <w:szCs w:val="24"/>
        </w:rPr>
        <w:t>assim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como a unidade técnica responsável pelo exame das contas, não se encontrou i</w:t>
      </w:r>
      <w:r>
        <w:rPr>
          <w:rFonts w:eastAsia="Cambria" w:cs="Cambria" w:ascii="Cambria" w:hAnsi="Cambria"/>
          <w:sz w:val="24"/>
          <w:szCs w:val="24"/>
        </w:rPr>
        <w:t>mpropriedade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na administração financeira dos recursos partidários, </w:t>
      </w:r>
      <w:r>
        <w:rPr>
          <w:rFonts w:eastAsia="Cambria" w:cs="Cambria" w:ascii="Cambria" w:hAnsi="Cambria"/>
          <w:sz w:val="24"/>
          <w:szCs w:val="24"/>
        </w:rPr>
        <w:t>tampouco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elementos que justifiquem a sua rejeição ou mesmo a aprovação com ressalvas.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Com efeito, verifica-se que a prestação de contas reflete adequadamente a movimentação financeira apresentada, sendo que, até o presente momento, não se teve conhecimento da existência de irregularidades/omissões nas receitas ou gastos eleitorais efetuados pelo partido.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Ressalta-se que o julgamento da prestação de contas pela Justiça Eleitoral não afasta a possibilidade de apuração quanto à prática de eventuais ilícitos antecedentes e/ou vinculados, verificados no curso de investigações em andamento ou futuras, nos termos do art. 71, da Resolução TSE 23.604/2019, bem como a propositura de ações criminais ou cíveis, se for o caso.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>Ante o exposto</w:t>
      </w:r>
      <w:r>
        <w:rPr>
          <w:rFonts w:eastAsia="Cambria" w:cs="Cambria" w:ascii="Cambria" w:hAnsi="Cambria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 xml:space="preserve">, o </w:t>
      </w:r>
      <w:r>
        <w:rPr>
          <w:rFonts w:eastAsia="Cambria" w:cs="Cambria" w:ascii="Cambria" w:hAnsi="Cambria"/>
          <w:b/>
          <w:bCs/>
          <w:color w:val="000000"/>
          <w:position w:val="0"/>
          <w:sz w:val="24"/>
          <w:sz w:val="24"/>
          <w:szCs w:val="24"/>
          <w:vertAlign w:val="baseline"/>
        </w:rPr>
        <w:t>Ministério Público Eleitoral se manifesta pela APROVAÇÃO</w:t>
      </w:r>
      <w:r>
        <w:rPr>
          <w:rFonts w:eastAsia="Cambria" w:cs="Cambria" w:ascii="Cambria" w:hAnsi="Cambria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 xml:space="preserve"> das contas apresentadas pelo Partido, nos termos do artigo 45, inciso I, da Resolução </w:t>
      </w: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 xml:space="preserve">TSE </w:t>
      </w:r>
      <w:r>
        <w:rPr>
          <w:rFonts w:eastAsia="Cambria" w:cs="Cambria" w:ascii="Cambria" w:hAnsi="Cambria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>23.604/2019.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285</Words>
  <Characters>1661</Characters>
  <CharactersWithSpaces>1929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2023-06-10T16:42:23Z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