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pageBreakBefore w:val="false"/>
        <w:widowControl/>
        <w:shd w:val="clear" w:fill="auto"/>
        <w:spacing w:lineRule="auto" w:line="276" w:before="0" w:after="0"/>
        <w:ind w:left="0" w:right="0" w:hanging="0"/>
        <w:jc w:val="center"/>
        <w:rPr>
          <w:lang w:val="pt-BR" w:eastAsia="zh-CN" w:bidi="hi-IN"/>
        </w:rPr>
      </w:pPr>
      <w:r>
        <w:rPr>
          <w:b/>
          <w:sz w:val="28"/>
          <w:szCs w:val="28"/>
          <w:lang w:val="pt-BR" w:eastAsia="zh-CN" w:bidi="hi-IN"/>
        </w:rPr>
        <w:t>CARTA DE PALMAS</w:t>
      </w:r>
    </w:p>
    <w:p>
      <w:pPr>
        <w:pStyle w:val="LOnormal"/>
        <w:widowControl/>
        <w:shd w:val="clear" w:fill="auto"/>
        <w:spacing w:lineRule="auto" w:line="276" w:before="0" w:after="0"/>
        <w:ind w:left="0" w:right="0" w:hanging="0"/>
        <w:jc w:val="right"/>
        <w:rPr>
          <w:rFonts w:ascii="Arial" w:hAnsi="Arial" w:eastAsia="Arial" w:cs="Arial"/>
          <w:b/>
          <w:b/>
          <w:sz w:val="28"/>
          <w:szCs w:val="28"/>
          <w:lang w:val="pt-BR" w:eastAsia="zh-CN" w:bidi="hi-IN"/>
        </w:rPr>
      </w:pPr>
      <w:r>
        <w:rPr>
          <w:rFonts w:eastAsia="Arial" w:cs="Arial"/>
          <w:b/>
          <w:sz w:val="28"/>
          <w:szCs w:val="28"/>
          <w:lang w:val="pt-BR" w:eastAsia="zh-CN" w:bidi="hi-IN"/>
        </w:rPr>
      </w:r>
    </w:p>
    <w:p>
      <w:pPr>
        <w:pStyle w:val="LOnormal"/>
        <w:widowControl/>
        <w:shd w:val="clear" w:fill="auto"/>
        <w:spacing w:lineRule="auto" w:line="276" w:before="0" w:after="0"/>
        <w:ind w:left="0" w:right="0" w:hanging="0"/>
        <w:jc w:val="right"/>
        <w:rPr>
          <w:lang w:val="pt-BR" w:eastAsia="zh-CN" w:bidi="hi-IN"/>
        </w:rPr>
      </w:pPr>
      <w:r>
        <w:rPr>
          <w:b w:val="false"/>
          <w:sz w:val="24"/>
          <w:szCs w:val="24"/>
          <w:lang w:val="pt-BR" w:eastAsia="zh-CN" w:bidi="hi-IN"/>
        </w:rPr>
        <w:t>Palmas-TO, 10 de outubro de 2025.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lang w:val="pt-BR" w:eastAsia="zh-CN" w:bidi="hi-IN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hi-IN"/>
        </w:rPr>
        <w:t>Aos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lang w:val="pt-BR" w:eastAsia="zh-CN" w:bidi="hi-IN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hi-IN"/>
        </w:rPr>
        <w:t>Gestores Públicos,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hi-IN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hi-IN"/>
        </w:rPr>
        <w:t xml:space="preserve">Representantes de </w:t>
      </w:r>
      <w:r>
        <w:rPr>
          <w:b/>
          <w:sz w:val="24"/>
          <w:szCs w:val="24"/>
          <w:lang w:val="pt-BR" w:eastAsia="zh-CN" w:bidi="hi-IN"/>
        </w:rPr>
        <w:t>Instituições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hi-IN"/>
        </w:rPr>
        <w:t>, Sociedade Civil Organizada e à População de Palmas e do Tocantins,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lang w:val="pt-BR" w:eastAsia="zh-CN" w:bidi="hi-IN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ab/>
        <w:t xml:space="preserve">Nós, participantes do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1º Congresso de Segurança Alimentar e Nutricional de Palmas-TO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, reunidos de 8 a 10 de outubro de 2025, no auditório Emival Sanches do Ministério Público do Estado do Tocantins, apresentamos esta carta como instrumento de propostas e recomendações para o avanço das políticas públicas de segurança alimentar e nutricional de Palmas/TO, visando a garantia do Direito Humano à Alimentação Adequada a toda população. </w:t>
      </w:r>
    </w:p>
    <w:p>
      <w:pPr>
        <w:pStyle w:val="LOnormal"/>
        <w:widowControl/>
        <w:shd w:val="clear" w:fill="auto"/>
        <w:spacing w:lineRule="auto" w:line="276" w:before="0" w:after="0"/>
        <w:ind w:left="0" w:right="0" w:hanging="0"/>
        <w:jc w:val="both"/>
        <w:rPr>
          <w:rFonts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</w:r>
    </w:p>
    <w:p>
      <w:pPr>
        <w:pStyle w:val="LOnormal"/>
        <w:widowControl/>
        <w:shd w:val="clear" w:fill="auto"/>
        <w:suppressAutoHyphens w:val="true"/>
        <w:bidi w:val="0"/>
        <w:spacing w:lineRule="auto" w:line="276" w:before="0" w:after="0"/>
        <w:ind w:left="0" w:right="0" w:firstLine="737"/>
        <w:jc w:val="both"/>
        <w:rPr>
          <w:lang w:val="pt-BR" w:eastAsia="zh-CN" w:bidi="hi-IN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Em um momento de crise global, refletimos sobre a urgência de combater a fome e a insegurança alimentar e nutricional e garantir alimentação adequada e saudável em nosso município. O congresso oportunizou um espaço democrático e estratégico para fortalecer a articulação interinstitucional e o engajamento da sociedade civil, com foco na garantia do Direito Humano à Alimentação Adequada (DHAA) e na construção de um futuro com justiça social e democracia participativa.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lang w:val="pt-BR" w:eastAsia="zh-CN" w:bidi="hi-IN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ab/>
        <w:t xml:space="preserve">Durante os três dias de evento, promovemos intensos debates a partir de eixos temáticos: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Direito Humano à Alimentação Adequada: Discussões sobre os desafios atuais e o papel do sistema de justiça; Governança Participativa e Cooperação Interinstitucional: Foco no fortalecimento do Sistema Nacional de Segurança Alimentar e Nutricional (SISAN); Promoção da Alimentação Saudável: Debates sobre sustentabilidade, segurança alimentar para populações vulneráveis, e o papel da água e da terra nesse contexto.</w:t>
      </w:r>
    </w:p>
    <w:p>
      <w:pPr>
        <w:pStyle w:val="LOnormal"/>
        <w:widowControl/>
        <w:shd w:val="clear" w:fill="auto"/>
        <w:spacing w:lineRule="auto" w:line="276" w:before="0" w:after="0"/>
        <w:ind w:left="0" w:right="0" w:hanging="0"/>
        <w:jc w:val="both"/>
        <w:rPr>
          <w:rFonts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shd w:fill="auto" w:val="clear"/>
          <w:lang w:val="pt-BR" w:eastAsia="zh-CN" w:bidi="hi-IN"/>
        </w:rPr>
      </w:pP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shd w:fill="auto" w:val="clear"/>
          <w:lang w:val="pt-BR" w:eastAsia="zh-CN" w:bidi="hi-IN"/>
        </w:rPr>
      </w:r>
    </w:p>
    <w:p>
      <w:pPr>
        <w:pStyle w:val="LOnormal"/>
        <w:widowControl/>
        <w:shd w:val="clear" w:fill="auto"/>
        <w:suppressAutoHyphens w:val="true"/>
        <w:bidi w:val="0"/>
        <w:spacing w:lineRule="auto" w:line="276" w:before="0" w:after="0"/>
        <w:ind w:left="0" w:right="0" w:firstLine="737"/>
        <w:jc w:val="both"/>
        <w:rPr>
          <w:lang w:val="pt-BR" w:eastAsia="zh-CN" w:bidi="hi-IN"/>
        </w:rPr>
      </w:pP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shd w:fill="auto" w:val="clear"/>
          <w:lang w:val="pt-BR" w:eastAsia="zh-CN" w:bidi="hi-IN"/>
        </w:rPr>
        <w:t>Na abertura, houve a palestra magna com tema central:</w:t>
      </w:r>
      <w:r>
        <w:rPr>
          <w:b w:val="false"/>
          <w:position w:val="0"/>
          <w:sz w:val="22"/>
          <w:sz w:val="22"/>
          <w:vertAlign w:val="baseline"/>
          <w:lang w:val="pt-BR" w:eastAsia="zh-CN" w:bidi="hi-IN"/>
        </w:rPr>
        <w:t xml:space="preserve"> "O Direito Humano à Alimentação Adequada: Desafios Atuais e o Papel do Sistema de Justiça na Garantia da Segurança Alimentar e Nutricional", proferida pela Dra. Míriam Villamil Balestro Floriano. Além disso, sete painéis com especialistas abordaram temas cruciais, promovendo debates sobre conceitos universais, conhecimentos legislativos e científicos com base em dados</w:t>
      </w:r>
      <w:r>
        <w:rPr>
          <w:rStyle w:val="Ncoradanotaderodap"/>
          <w:b w:val="false"/>
          <w:position w:val="0"/>
          <w:sz w:val="22"/>
          <w:sz w:val="22"/>
          <w:vertAlign w:val="baseline"/>
          <w:lang w:val="pt-BR" w:eastAsia="zh-CN" w:bidi="hi-IN"/>
        </w:rPr>
        <w:footnoteReference w:id="2"/>
      </w:r>
      <w:r>
        <w:rPr>
          <w:b w:val="false"/>
          <w:position w:val="0"/>
          <w:sz w:val="22"/>
          <w:sz w:val="22"/>
          <w:vertAlign w:val="baseline"/>
          <w:lang w:val="pt-BR" w:eastAsia="zh-CN" w:bidi="hi-IN"/>
        </w:rPr>
        <w:t xml:space="preserve"> da realidade de Palmas. Os eixos temáticos foram: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left="0" w:right="0" w:hanging="0"/>
        <w:jc w:val="both"/>
        <w:rPr>
          <w:lang w:val="pt-BR" w:eastAsia="zh-CN" w:bidi="hi-IN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Os painéis e seus apresentadores foram: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0" w:leader="none"/>
        </w:tabs>
        <w:spacing w:lineRule="auto" w:line="276" w:before="0" w:after="0"/>
        <w:ind w:left="707" w:right="0" w:hanging="283"/>
        <w:jc w:val="left"/>
        <w:rPr>
          <w:lang w:val="pt-BR" w:eastAsia="zh-CN" w:bidi="hi-IN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Painel 1 – Governança Participativa e Fortalecimento do SISAN: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 Dra. Eloise Schott (UFT/CONSEA) e Ma. Valéria Torres Burity (Secretária Extraordinária do Ministério do Desenvolvimento Social).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0" w:leader="none"/>
        </w:tabs>
        <w:spacing w:lineRule="auto" w:line="276" w:before="0" w:after="0"/>
        <w:ind w:left="707" w:right="0" w:hanging="283"/>
        <w:jc w:val="left"/>
        <w:rPr>
          <w:lang w:val="pt-BR" w:eastAsia="zh-CN" w:bidi="hi-IN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Painel 2 – Cooperação Interinstitucional Para Garantia do Direito Humano à Alimentação Adequada: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 Dra. Ma. Vera Nilva Álvares Rocha Lira e Ma. Marlucy Albuquerque;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0" w:leader="none"/>
        </w:tabs>
        <w:spacing w:lineRule="auto" w:line="276" w:before="0" w:after="0"/>
        <w:ind w:left="707" w:right="0" w:hanging="283"/>
        <w:jc w:val="left"/>
        <w:rPr>
          <w:lang w:val="pt-BR" w:eastAsia="zh-CN" w:bidi="hi-IN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Painel 3 – Políticas Públicas Intersetoriais para a Garantia do Direito Humano à Alimentação Adequada: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 Ma. Valéria Torres Burity (Ministério do Desenvolvimento Social) e Dra. Kênia Lima Araújo (UFT);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0" w:leader="none"/>
        </w:tabs>
        <w:spacing w:lineRule="auto" w:line="276" w:before="0" w:after="0"/>
        <w:ind w:left="707" w:right="0" w:hanging="283"/>
        <w:jc w:val="left"/>
        <w:rPr>
          <w:lang w:val="pt-BR" w:eastAsia="zh-CN" w:bidi="hi-IN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Painel 4 – Garantia do Direito Humano à Alimentação Adequada para populações vulneráveis e combate às desigualdades: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 Dr. José Eduardo Azevedo e Felipe Barbosa Coelho;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0" w:leader="none"/>
        </w:tabs>
        <w:spacing w:lineRule="auto" w:line="276" w:before="0" w:after="0"/>
        <w:ind w:left="707" w:right="0" w:hanging="283"/>
        <w:jc w:val="both"/>
        <w:rPr>
          <w:lang w:val="pt-BR" w:eastAsia="zh-CN" w:bidi="hi-IN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Painel 5 –</w:t>
      </w:r>
      <w:r>
        <w:rPr>
          <w:rFonts w:eastAsia="Arial" w:cs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 Terra e água como patrimônio e direito: desafios para Sistemas Alimentares Resilientes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: Dr. Heber Rogerio Gracio e Henrique Garcia dos Santos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0" w:leader="none"/>
        </w:tabs>
        <w:spacing w:lineRule="auto" w:line="276" w:before="0" w:after="0"/>
        <w:ind w:left="707" w:right="0" w:hanging="283"/>
        <w:jc w:val="both"/>
        <w:rPr>
          <w:lang w:val="pt-BR" w:eastAsia="zh-CN" w:bidi="hi-IN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Painel 6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–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 </w:t>
      </w:r>
      <w:r>
        <w:rPr>
          <w:rFonts w:eastAsia="Arial" w:cs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Construção de uma cidade saudável e sustentável: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Dra. Juliana Aguiar de Melo e Me. Walter Borges Neto; 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0" w:leader="none"/>
        </w:tabs>
        <w:spacing w:lineRule="auto" w:line="276" w:before="0" w:after="0"/>
        <w:ind w:left="707" w:right="0" w:hanging="283"/>
        <w:jc w:val="both"/>
        <w:rPr>
          <w:lang w:val="pt-BR" w:eastAsia="zh-CN" w:bidi="hi-IN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Painel 7 – </w:t>
      </w:r>
      <w:r>
        <w:rPr>
          <w:rFonts w:eastAsia="Arial" w:cs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Estratégias para promoção da alimentação adequada e saudável: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Me. Rodrigo Miranda e Dra. Renata Moreira; 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0" w:leader="none"/>
        </w:tabs>
        <w:spacing w:lineRule="auto" w:line="276" w:before="0" w:after="0"/>
        <w:ind w:left="707" w:right="0" w:hanging="283"/>
        <w:jc w:val="both"/>
        <w:rPr>
          <w:lang w:val="pt-BR" w:eastAsia="zh-CN" w:bidi="hi-IN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Painel Interativo – </w:t>
      </w:r>
      <w:r>
        <w:rPr>
          <w:rFonts w:eastAsia="Arial" w:cs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Diálogos Finas e Leitura da Carta de Palmas.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left="0" w:right="0" w:hanging="0"/>
        <w:jc w:val="both"/>
        <w:rPr>
          <w:lang w:val="pt-BR" w:eastAsia="zh-CN" w:bidi="hi-IN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ab/>
        <w:t xml:space="preserve">Este documento é fundamentado por importantes referências legais que garantem o direito à alimentação como um direito social fundamental, a saber: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Constituição Federal de 1988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, que em seu Artigo 6º, lista a alimentação como um direito social, e no Artigo 196, a correlaciona ao direito à saúde e à segurança alimentar e nutricional;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Emenda Constitucional nº 64, de 2010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, que incluiu formalmente a alimentação entre os direitos sociais e a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Lei Orgânica de Segurança Alimentar e Nutricional (LOSAN) - Lei nº 11.346/2006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, que cria o SISAN e estabelece os princípios e diretrizes para a política nacional de segurança alimentar e nutricional.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left="0" w:right="0" w:hanging="0"/>
        <w:jc w:val="both"/>
        <w:rPr>
          <w:lang w:val="pt-BR" w:eastAsia="zh-CN" w:bidi="hi-IN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ab/>
        <w:t xml:space="preserve">Esta carta </w:t>
      </w:r>
      <w:r>
        <w:rPr>
          <w:lang w:val="pt-BR" w:eastAsia="zh-CN" w:bidi="hi-IN"/>
        </w:rPr>
        <w:t>surge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 da necessidade de materializarmos nosso compromisso coletivo com o presente e o futuro de Palmas, apresentando propostas e diretrizes resultantes do consenso e da colaboração de todos os participantes e, consequentemente, para que se tornem ações concretas, propomos: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>
          <w:rFonts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Aprimorar a Governança Participativa para o fortalecimento da política pública de segurança alimentar e nutricional do município</w:t>
      </w:r>
      <w:r>
        <w:rPr>
          <w:rFonts w:eastAsia="Arial" w:cs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 - </w:t>
      </w: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Para garantir a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 </w:t>
      </w: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formulação, articulação, implementação e monitoramento </w:t>
      </w: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das </w:t>
      </w: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ações de segurança alimentar e nutricional no âmbito municipal, de maneira intersetorial e com a participação da sociedade civil organizada, </w:t>
      </w: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fortalecimento do controle social através dos Conselhos e Fórum, </w:t>
      </w: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com vistas em assegurar o Direito Humano à Alimentação Adequada;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720" w:right="0" w:hanging="0"/>
        <w:jc w:val="both"/>
        <w:rPr>
          <w:rFonts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</w:r>
    </w:p>
    <w:p>
      <w:pPr>
        <w:pStyle w:val="LOnormal"/>
        <w:numPr>
          <w:ilvl w:val="0"/>
          <w:numId w:val="1"/>
        </w:numPr>
        <w:ind w:left="720" w:hanging="360"/>
        <w:jc w:val="both"/>
        <w:rPr>
          <w:lang w:val="pt-BR" w:eastAsia="zh-CN" w:bidi="hi-IN"/>
        </w:rPr>
      </w:pPr>
      <w:r>
        <w:rPr>
          <w:b/>
          <w:lang w:val="pt-BR" w:eastAsia="zh-CN" w:bidi="hi-IN"/>
        </w:rPr>
        <w:t xml:space="preserve">Promover à Integração interinstitucional - </w:t>
      </w:r>
      <w:r>
        <w:rPr>
          <w:b w:val="false"/>
          <w:bCs w:val="false"/>
          <w:lang w:val="pt-BR" w:eastAsia="zh-CN" w:bidi="hi-IN"/>
        </w:rPr>
        <w:t>F</w:t>
      </w:r>
      <w:r>
        <w:rPr>
          <w:lang w:val="pt-BR" w:eastAsia="zh-CN" w:bidi="hi-IN"/>
        </w:rPr>
        <w:t>ortalecer a integração entre SUS, SUAS, SISAN, Ministério Público, Defensoria Pública, Judiciário, OAB, Universidades, Sociedade Civil Organizada e demais entidades ligadas à segurança alimentar e nutricional no município;</w:t>
      </w:r>
    </w:p>
    <w:p>
      <w:pPr>
        <w:pStyle w:val="LOnormal"/>
        <w:numPr>
          <w:ilvl w:val="0"/>
          <w:numId w:val="1"/>
        </w:numPr>
        <w:spacing w:lineRule="auto" w:line="240" w:before="240" w:after="240"/>
        <w:ind w:left="720" w:hanging="360"/>
        <w:jc w:val="both"/>
        <w:rPr>
          <w:lang w:val="pt-BR" w:eastAsia="zh-CN" w:bidi="hi-IN"/>
        </w:rPr>
      </w:pPr>
      <w:r>
        <w:rPr>
          <w:b/>
          <w:bCs/>
          <w:lang w:val="pt-BR" w:eastAsia="zh-CN" w:bidi="hi-IN"/>
        </w:rPr>
        <w:t xml:space="preserve">Instituir, no âmbito do Ministério Público do Estado do Tocantins um Núcleo de Atuação Especializada no Combate à Fome e Pobreza - </w:t>
      </w:r>
      <w:r>
        <w:rPr>
          <w:lang w:val="pt-BR" w:eastAsia="zh-CN" w:bidi="hi-IN"/>
        </w:rPr>
        <w:t>Este núcleo deverá atuar de forma permanente e intersetorial na Promoção de Programas Sociais em todos os Municípios do Estado do Tocantins e bem como realizar a fiscalização da implementação do Plano Municipal de Segurança Alimentar e Nutricional;</w:t>
      </w:r>
    </w:p>
    <w:p>
      <w:pPr>
        <w:pStyle w:val="LOnormal"/>
        <w:numPr>
          <w:ilvl w:val="0"/>
          <w:numId w:val="1"/>
        </w:numPr>
        <w:spacing w:lineRule="auto" w:line="240" w:before="240" w:after="240"/>
        <w:ind w:left="720" w:hanging="360"/>
        <w:jc w:val="both"/>
        <w:rPr>
          <w:lang w:val="pt-BR" w:eastAsia="zh-CN" w:bidi="hi-IN"/>
        </w:rPr>
      </w:pPr>
      <w:r>
        <w:rPr>
          <w:b/>
          <w:highlight w:val="white"/>
          <w:lang w:val="pt-BR" w:eastAsia="zh-CN" w:bidi="hi-IN"/>
        </w:rPr>
        <w:t>Ampliar e qualificar a estrutura municipal de segurança alimentar e nutricional -</w:t>
      </w:r>
      <w:r>
        <w:rPr>
          <w:highlight w:val="white"/>
          <w:lang w:val="pt-BR" w:eastAsia="zh-CN" w:bidi="hi-IN"/>
        </w:rPr>
        <w:t xml:space="preserve"> com a destinação de orçamento específico e permanente, </w:t>
      </w:r>
      <w:r>
        <w:rPr>
          <w:highlight w:val="white"/>
          <w:lang w:val="pt-BR" w:eastAsia="zh-CN" w:bidi="hi-IN"/>
        </w:rPr>
        <w:t xml:space="preserve">fortalecimento da produção e  </w:t>
      </w:r>
      <w:r>
        <w:rPr>
          <w:highlight w:val="white"/>
          <w:lang w:val="pt-BR" w:eastAsia="zh-CN" w:bidi="hi-IN"/>
        </w:rPr>
        <w:t xml:space="preserve">comercialização dos produtos oriundos da agricultura familiar, </w:t>
      </w:r>
      <w:r>
        <w:rPr>
          <w:highlight w:val="white"/>
          <w:lang w:val="pt-BR" w:eastAsia="zh-CN" w:bidi="hi-IN"/>
        </w:rPr>
        <w:t xml:space="preserve">expansão dos equipamentos públicos como restaurantes comunitários e populares, </w:t>
      </w:r>
      <w:r>
        <w:rPr>
          <w:highlight w:val="white"/>
          <w:lang w:val="pt-BR" w:eastAsia="zh-CN" w:bidi="hi-IN"/>
        </w:rPr>
        <w:t xml:space="preserve">bancos de alimentos, sacolões, armazéns, </w:t>
      </w:r>
      <w:r>
        <w:rPr>
          <w:highlight w:val="white"/>
          <w:lang w:val="pt-BR" w:eastAsia="zh-CN" w:bidi="hi-IN"/>
        </w:rPr>
        <w:t xml:space="preserve">hortas comunitárias agroecológicas em espaços urbanos, </w:t>
      </w:r>
      <w:r>
        <w:rPr>
          <w:highlight w:val="white"/>
          <w:lang w:val="pt-BR" w:eastAsia="zh-CN" w:bidi="hi-IN"/>
        </w:rPr>
        <w:t>(</w:t>
      </w:r>
      <w:r>
        <w:rPr>
          <w:highlight w:val="white"/>
          <w:lang w:val="pt-BR" w:eastAsia="zh-CN" w:bidi="hi-IN"/>
        </w:rPr>
        <w:t>áreas periféricas, escolas, unidades de saúde e equipamentos de assistência social</w:t>
      </w:r>
      <w:r>
        <w:rPr>
          <w:highlight w:val="white"/>
          <w:lang w:val="pt-BR" w:eastAsia="zh-CN" w:bidi="hi-IN"/>
        </w:rPr>
        <w:t>)</w:t>
      </w:r>
      <w:r>
        <w:rPr>
          <w:highlight w:val="white"/>
          <w:lang w:val="pt-BR" w:eastAsia="zh-CN" w:bidi="hi-IN"/>
        </w:rPr>
        <w:t>, fe</w:t>
      </w:r>
      <w:r>
        <w:rPr>
          <w:highlight w:val="white"/>
          <w:lang w:val="pt-BR" w:eastAsia="zh-CN" w:bidi="hi-IN"/>
        </w:rPr>
        <w:t>ir</w:t>
      </w:r>
      <w:r>
        <w:rPr>
          <w:highlight w:val="white"/>
          <w:lang w:val="pt-BR" w:eastAsia="zh-CN" w:bidi="hi-IN"/>
        </w:rPr>
        <w:t>as livres</w:t>
      </w:r>
      <w:r>
        <w:rPr>
          <w:highlight w:val="white"/>
          <w:lang w:val="pt-BR" w:eastAsia="zh-CN" w:bidi="hi-IN"/>
        </w:rPr>
        <w:t xml:space="preserve"> </w:t>
      </w:r>
      <w:r>
        <w:rPr>
          <w:highlight w:val="white"/>
          <w:lang w:val="pt-BR" w:eastAsia="zh-CN" w:bidi="hi-IN"/>
        </w:rPr>
        <w:t xml:space="preserve">e exclusivas </w:t>
      </w:r>
      <w:r>
        <w:rPr>
          <w:highlight w:val="white"/>
          <w:lang w:val="pt-BR" w:eastAsia="zh-CN" w:bidi="hi-IN"/>
        </w:rPr>
        <w:t>da agricultura familiar</w:t>
      </w:r>
      <w:r>
        <w:rPr>
          <w:highlight w:val="white"/>
          <w:lang w:val="pt-BR" w:eastAsia="zh-CN" w:bidi="hi-IN"/>
        </w:rPr>
        <w:t xml:space="preserve">, </w:t>
      </w:r>
      <w:r>
        <w:rPr>
          <w:highlight w:val="white"/>
          <w:lang w:val="pt-BR" w:eastAsia="zh-CN" w:bidi="hi-IN"/>
        </w:rPr>
        <w:t xml:space="preserve">além do </w:t>
      </w:r>
      <w:r>
        <w:rPr>
          <w:highlight w:val="white"/>
          <w:lang w:val="pt-BR" w:eastAsia="zh-CN" w:bidi="hi-IN"/>
        </w:rPr>
        <w:t xml:space="preserve">incentivo a ampliação de cozinhas solidárias, </w:t>
      </w:r>
      <w:r>
        <w:rPr>
          <w:highlight w:val="white"/>
          <w:lang w:val="pt-BR" w:eastAsia="zh-CN" w:bidi="hi-IN"/>
        </w:rPr>
        <w:t>criação de mecanismos de monitoramento contínuo da insegurança alimentar e adoção de estratégias baseadas em dados para alcançar com eficácia as populações em maior situação de vulnerabilidade.</w:t>
      </w:r>
    </w:p>
    <w:p>
      <w:pPr>
        <w:pStyle w:val="LOnormal"/>
        <w:numPr>
          <w:ilvl w:val="0"/>
          <w:numId w:val="1"/>
        </w:numPr>
        <w:ind w:left="720" w:hanging="360"/>
        <w:jc w:val="both"/>
        <w:rPr>
          <w:lang w:val="pt-BR" w:eastAsia="zh-CN" w:bidi="hi-IN"/>
        </w:rPr>
      </w:pPr>
      <w:r>
        <w:rPr>
          <w:b/>
          <w:lang w:val="pt-BR" w:eastAsia="zh-CN" w:bidi="hi-IN"/>
        </w:rPr>
        <w:t>Desenvolver estratégias de promoção da alimentação adequada e saudável, priorizando territórios periféricos e vulneráveis -</w:t>
      </w:r>
      <w:r>
        <w:rPr>
          <w:b w:val="false"/>
          <w:bCs w:val="false"/>
          <w:lang w:val="pt-BR" w:eastAsia="zh-CN" w:bidi="hi-IN"/>
        </w:rPr>
        <w:t xml:space="preserve"> Promovendo ações com enfoque na valorização da cultura alimentar local, combate à desinformação e promoção da alimentação saudável e sustentável.</w:t>
      </w:r>
    </w:p>
    <w:p>
      <w:pPr>
        <w:pStyle w:val="LOnormal"/>
        <w:numPr>
          <w:ilvl w:val="0"/>
          <w:numId w:val="0"/>
        </w:numPr>
        <w:ind w:left="720" w:hanging="0"/>
        <w:jc w:val="both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>
          <w:lang w:val="pt-BR" w:eastAsia="zh-CN" w:bidi="hi-IN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Elaborar</w:t>
      </w:r>
      <w:r>
        <w:rPr>
          <w:b/>
          <w:color w:val="1B1C1D"/>
          <w:lang w:val="pt-BR" w:eastAsia="zh-CN" w:bidi="hi-IN"/>
        </w:rPr>
        <w:t xml:space="preserve"> e institucionalizar o I Plano Municipal de Segurança Alimentar e Nutricional (PLAMSAN) de Palmas/TO -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 </w:t>
      </w:r>
      <w:r>
        <w:rPr>
          <w:color w:val="1B1C1D"/>
          <w:lang w:val="pt-BR" w:eastAsia="zh-CN" w:bidi="hi-IN"/>
        </w:rPr>
        <w:t>Este Plano deve ser estabelecido como um instrumento efetivo de planejamento e não meramente protocolar, com compromisso formal de alocação orçamentária e definição de metas intersetoriais claras. Tal institucionalização é crucial para transformar a segurança alimentar e nutricional como uma política de Estado, justificando-se pelos dados apresentados ao longo do evento, o que exige que a gestão municipal supere a fragmentação administrativa e articule, de forma efetiva, as ações entre Saúde, Assistência, Educação, Agricultura e Meio Ambiente e demais órgãos. Assim, o PLAMSAN se consolida como a ferramenta essencial para o combate à desigualdade e para a garantia de uma Segurança Alimentar e Nutricional justa e sustentável no município;</w:t>
      </w:r>
    </w:p>
    <w:p>
      <w:pPr>
        <w:pStyle w:val="LOnormal"/>
        <w:ind w:left="720" w:hanging="0"/>
        <w:jc w:val="both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left="0" w:right="0" w:hanging="0"/>
        <w:jc w:val="both"/>
        <w:rPr>
          <w:lang w:val="pt-BR" w:eastAsia="zh-CN" w:bidi="hi-IN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ab/>
        <w:t>Nesta perspectiva, o nosso desafio é transformar as discussões deste congresso em ações efetivas. Acreditamos que a inovação, a cooperação e a capacidade de resolver problemas institucionais são essenciais para a construção de um sistema alimentar mais justo e equitativo para todos os cidadãos de Palmas.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left="0" w:right="0" w:hanging="0"/>
        <w:jc w:val="both"/>
        <w:rPr>
          <w:lang w:val="pt-BR" w:eastAsia="zh-CN" w:bidi="hi-IN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Atenciosamente,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left="0" w:right="0" w:hanging="0"/>
        <w:jc w:val="both"/>
        <w:rPr>
          <w:lang w:val="pt-BR" w:eastAsia="zh-CN" w:bidi="hi-IN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ab/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Dr. Oneide Perius, Me. Paulo Alexandre Rodrigues Siqueira, Comissão de Relatoria do 1º Congresso de Segurança Alimentar e Nutricional de Palmas-TO e demais Congressistas.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40" w:right="1166" w:gutter="0" w:header="850" w:top="2081" w:footer="720" w:bottom="195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Times New Roman">
    <w:charset w:val="01"/>
    <w:family w:val="roman"/>
    <w:pitch w:val="default"/>
  </w:font>
  <w:font w:name="Noto Sans Symbols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spacing w:lineRule="auto" w:line="276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-410845</wp:posOffset>
          </wp:positionV>
          <wp:extent cx="5731510" cy="748030"/>
          <wp:effectExtent l="0" t="0" r="0" b="0"/>
          <wp:wrapSquare wrapText="bothSides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spacing w:lineRule="auto" w:line="276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-410845</wp:posOffset>
          </wp:positionV>
          <wp:extent cx="5731510" cy="748030"/>
          <wp:effectExtent l="0" t="0" r="0" b="0"/>
          <wp:wrapSquare wrapText="bothSides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rPr/>
      </w:pPr>
      <w:r>
        <w:rPr>
          <w:rStyle w:val="Caracteresdenotaderodap"/>
        </w:rPr>
        <w:footnoteRef/>
      </w:r>
      <w:r>
        <w:rPr/>
        <w:tab/>
        <w:t>Dados disponivéis nos Anais/2025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spacing w:lineRule="auto" w:line="276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438150</wp:posOffset>
          </wp:positionH>
          <wp:positionV relativeFrom="page">
            <wp:posOffset>120650</wp:posOffset>
          </wp:positionV>
          <wp:extent cx="6779895" cy="115062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3" t="1843" r="-1399" b="1843"/>
                  <a:stretch>
                    <a:fillRect/>
                  </a:stretch>
                </pic:blipFill>
                <pic:spPr bwMode="auto">
                  <a:xfrm>
                    <a:off x="0" y="0"/>
                    <a:ext cx="6779895" cy="1150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widowControl/>
      <w:shd w:val="clear" w:fill="auto"/>
      <w:spacing w:lineRule="auto" w:line="276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spacing w:lineRule="auto" w:line="276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spacing w:lineRule="auto" w:line="276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438150</wp:posOffset>
          </wp:positionH>
          <wp:positionV relativeFrom="page">
            <wp:posOffset>120650</wp:posOffset>
          </wp:positionV>
          <wp:extent cx="6779895" cy="115062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3" t="1843" r="-1399" b="1843"/>
                  <a:stretch>
                    <a:fillRect/>
                  </a:stretch>
                </pic:blipFill>
                <pic:spPr bwMode="auto">
                  <a:xfrm>
                    <a:off x="0" y="0"/>
                    <a:ext cx="6779895" cy="1150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widowControl/>
      <w:shd w:val="clear" w:fill="auto"/>
      <w:spacing w:lineRule="auto" w:line="276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spacing w:lineRule="auto" w:line="276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rFonts w:ascii="Arial" w:hAnsi="Arial" w:eastAsia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07" w:hanging="283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414" w:hanging="283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21" w:hanging="283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28" w:hanging="283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535" w:hanging="283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242" w:hanging="283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949" w:hanging="283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656" w:hanging="283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363" w:hanging="283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2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400" w:after="1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40"/>
      <w:sz w:val="40"/>
      <w:szCs w:val="40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360" w:after="1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32"/>
      <w:sz w:val="32"/>
      <w:szCs w:val="32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320" w:after="8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434343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40" w:after="8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40" w:after="80"/>
      <w:ind w:left="0" w:right="0" w:hanging="0"/>
      <w:jc w:val="left"/>
    </w:pPr>
    <w:rPr>
      <w:rFonts w:ascii="Arial" w:hAnsi="Arial" w:eastAsia="Arial" w:cs="Arial"/>
      <w:b w:val="false"/>
      <w:i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Corpodotexto">
    <w:name w:val="Body Text"/>
    <w:basedOn w:val="Normal1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ascii="Arial" w:hAnsi="Arial"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ascii="Times New Roman" w:hAnsi="Times New Roman"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0" w:after="6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52"/>
      <w:sz w:val="52"/>
      <w:szCs w:val="52"/>
      <w:u w:val="none"/>
      <w:shd w:fill="auto" w:val="clear"/>
      <w:vertAlign w:val="baseline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CabealhoeRodap">
    <w:name w:val="Cabeçalho e Rodapé"/>
    <w:basedOn w:val="Normal1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0" w:after="3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30"/>
      <w:sz w:val="30"/>
      <w:szCs w:val="30"/>
      <w:u w:val="none"/>
      <w:shd w:fill="auto" w:val="clear"/>
      <w:vertAlign w:val="baseline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rJdXzCpqHnUU1DstZfX8ya8CSPw==">CgMxLjA4AHIhMWdJaVhHVV96cUpPc0h2YXJodnNuY3FOQVk0cXVrQ0JS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LibreOffice/7.2.6.2$Windows_X86_64 LibreOffice_project/b0ec3a565991f7569a5a7f5d24fed7f52653d754</Application>
  <AppVersion>15.0000</AppVersion>
  <Pages>3</Pages>
  <Words>1129</Words>
  <Characters>6657</Characters>
  <CharactersWithSpaces>7763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2025-10-10T17:19:37Z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