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0C6C3" w14:textId="77777777" w:rsidR="00FD680E" w:rsidRPr="00886473" w:rsidRDefault="00FD680E"/>
    <w:tbl>
      <w:tblPr>
        <w:tblStyle w:val="Tabelacomgrade"/>
        <w:tblW w:w="10466" w:type="dxa"/>
        <w:jc w:val="center"/>
        <w:tblLayout w:type="fixed"/>
        <w:tblLook w:val="04A0" w:firstRow="1" w:lastRow="0" w:firstColumn="1" w:lastColumn="0" w:noHBand="0" w:noVBand="1"/>
      </w:tblPr>
      <w:tblGrid>
        <w:gridCol w:w="2884"/>
        <w:gridCol w:w="6615"/>
        <w:gridCol w:w="967"/>
      </w:tblGrid>
      <w:tr w:rsidR="00886473" w:rsidRPr="00886473" w14:paraId="448E9C48" w14:textId="77777777">
        <w:trPr>
          <w:jc w:val="center"/>
        </w:trPr>
        <w:tc>
          <w:tcPr>
            <w:tcW w:w="2884" w:type="dxa"/>
            <w:tcBorders>
              <w:top w:val="nil"/>
              <w:left w:val="nil"/>
              <w:bottom w:val="nil"/>
              <w:right w:val="nil"/>
            </w:tcBorders>
          </w:tcPr>
          <w:p w14:paraId="5966313B" w14:textId="77777777" w:rsidR="00FD680E" w:rsidRPr="00886473" w:rsidRDefault="00975DA0">
            <w:pPr>
              <w:spacing w:after="0" w:line="240" w:lineRule="auto"/>
              <w:rPr>
                <w:rFonts w:cstheme="minorHAnsi"/>
                <w:b/>
              </w:rPr>
            </w:pPr>
            <w:r w:rsidRPr="00886473">
              <w:rPr>
                <w:rFonts w:eastAsia="Calibri" w:cstheme="minorHAnsi"/>
                <w:b/>
                <w:noProof/>
                <w:lang w:eastAsia="pt-BR"/>
              </w:rPr>
              <w:drawing>
                <wp:anchor distT="0" distB="0" distL="114300" distR="114300" simplePos="0" relativeHeight="2" behindDoc="0" locked="0" layoutInCell="1" allowOverlap="1" wp14:anchorId="59F681C7" wp14:editId="60DD91BF">
                  <wp:simplePos x="0" y="0"/>
                  <wp:positionH relativeFrom="column">
                    <wp:posOffset>64770</wp:posOffset>
                  </wp:positionH>
                  <wp:positionV relativeFrom="page">
                    <wp:posOffset>228600</wp:posOffset>
                  </wp:positionV>
                  <wp:extent cx="1694180" cy="136207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1"/>
                          <a:stretch>
                            <a:fillRect/>
                          </a:stretch>
                        </pic:blipFill>
                        <pic:spPr bwMode="auto">
                          <a:xfrm>
                            <a:off x="0" y="0"/>
                            <a:ext cx="1694180" cy="1362075"/>
                          </a:xfrm>
                          <a:prstGeom prst="rect">
                            <a:avLst/>
                          </a:prstGeom>
                        </pic:spPr>
                      </pic:pic>
                    </a:graphicData>
                  </a:graphic>
                </wp:anchor>
              </w:drawing>
            </w:r>
          </w:p>
        </w:tc>
        <w:tc>
          <w:tcPr>
            <w:tcW w:w="6615" w:type="dxa"/>
            <w:tcBorders>
              <w:top w:val="nil"/>
              <w:left w:val="nil"/>
              <w:bottom w:val="nil"/>
              <w:right w:val="nil"/>
            </w:tcBorders>
            <w:vAlign w:val="center"/>
          </w:tcPr>
          <w:p w14:paraId="407B9128" w14:textId="0DA5B9D0" w:rsidR="00FD680E" w:rsidRPr="00886473" w:rsidRDefault="00975DA0">
            <w:pPr>
              <w:spacing w:after="0" w:line="240" w:lineRule="auto"/>
              <w:jc w:val="center"/>
              <w:rPr>
                <w:rFonts w:cstheme="minorHAnsi"/>
                <w:b/>
              </w:rPr>
            </w:pPr>
            <w:r w:rsidRPr="00886473">
              <w:rPr>
                <w:rFonts w:eastAsia="Calibri" w:cstheme="minorHAnsi"/>
                <w:b/>
                <w:sz w:val="32"/>
                <w:szCs w:val="32"/>
              </w:rPr>
              <w:t xml:space="preserve">PROPOSTA DE </w:t>
            </w:r>
            <w:r w:rsidR="00057000">
              <w:rPr>
                <w:rFonts w:eastAsia="Calibri" w:cstheme="minorHAnsi"/>
                <w:b/>
                <w:sz w:val="32"/>
                <w:szCs w:val="32"/>
              </w:rPr>
              <w:t>NOTA TÉCNICA</w:t>
            </w:r>
            <w:r w:rsidRPr="00886473">
              <w:rPr>
                <w:rFonts w:eastAsia="Calibri" w:cstheme="minorHAnsi"/>
                <w:b/>
                <w:sz w:val="32"/>
                <w:szCs w:val="32"/>
              </w:rPr>
              <w:t xml:space="preserve"> </w:t>
            </w:r>
          </w:p>
        </w:tc>
        <w:tc>
          <w:tcPr>
            <w:tcW w:w="967" w:type="dxa"/>
            <w:tcBorders>
              <w:top w:val="nil"/>
              <w:left w:val="nil"/>
              <w:bottom w:val="nil"/>
              <w:right w:val="nil"/>
            </w:tcBorders>
          </w:tcPr>
          <w:p w14:paraId="5F7C7483" w14:textId="77777777" w:rsidR="00FD680E" w:rsidRPr="00886473" w:rsidRDefault="00FD680E">
            <w:pPr>
              <w:spacing w:after="0" w:line="240" w:lineRule="auto"/>
              <w:jc w:val="right"/>
              <w:rPr>
                <w:rFonts w:cstheme="minorHAnsi"/>
              </w:rPr>
            </w:pPr>
          </w:p>
        </w:tc>
      </w:tr>
      <w:tr w:rsidR="00886473" w:rsidRPr="00886473" w14:paraId="770890D5" w14:textId="77777777">
        <w:trPr>
          <w:trHeight w:val="555"/>
          <w:jc w:val="center"/>
        </w:trPr>
        <w:tc>
          <w:tcPr>
            <w:tcW w:w="10466" w:type="dxa"/>
            <w:gridSpan w:val="3"/>
            <w:shd w:val="clear" w:color="auto" w:fill="0095C9"/>
            <w:vAlign w:val="center"/>
          </w:tcPr>
          <w:p w14:paraId="2E0E5611" w14:textId="6924B8A3" w:rsidR="00FD680E" w:rsidRPr="00886473" w:rsidRDefault="00214FF2">
            <w:pPr>
              <w:spacing w:after="0" w:line="240" w:lineRule="auto"/>
              <w:jc w:val="center"/>
              <w:rPr>
                <w:rFonts w:cstheme="minorHAnsi"/>
                <w:b/>
              </w:rPr>
            </w:pPr>
            <w:r>
              <w:rPr>
                <w:rFonts w:eastAsia="Calibri" w:cstheme="minorHAnsi"/>
                <w:b/>
              </w:rPr>
              <w:t xml:space="preserve">COMISSÃO PERMANENTE </w:t>
            </w:r>
            <w:r w:rsidR="0069631A">
              <w:rPr>
                <w:rFonts w:eastAsia="Calibri" w:cstheme="minorHAnsi"/>
                <w:b/>
              </w:rPr>
              <w:t>DA</w:t>
            </w:r>
            <w:r w:rsidR="00975DA0" w:rsidRPr="00886473">
              <w:rPr>
                <w:rFonts w:eastAsia="Calibri" w:cstheme="minorHAnsi"/>
                <w:b/>
              </w:rPr>
              <w:t xml:space="preserve"> EDUCAÇÃO (COPEDUC)</w:t>
            </w:r>
          </w:p>
        </w:tc>
      </w:tr>
      <w:tr w:rsidR="00886473" w:rsidRPr="00886473" w14:paraId="66954748" w14:textId="77777777">
        <w:trPr>
          <w:trHeight w:val="563"/>
          <w:jc w:val="center"/>
        </w:trPr>
        <w:tc>
          <w:tcPr>
            <w:tcW w:w="10466" w:type="dxa"/>
            <w:gridSpan w:val="3"/>
            <w:vAlign w:val="center"/>
          </w:tcPr>
          <w:p w14:paraId="1EA9203C" w14:textId="77777777" w:rsidR="00FD680E" w:rsidRPr="00886473" w:rsidRDefault="00FD680E">
            <w:pPr>
              <w:spacing w:after="0" w:line="240" w:lineRule="auto"/>
              <w:jc w:val="center"/>
              <w:rPr>
                <w:rFonts w:cstheme="minorHAnsi"/>
              </w:rPr>
            </w:pPr>
          </w:p>
          <w:p w14:paraId="59466427" w14:textId="77777777" w:rsidR="00FD680E" w:rsidRPr="00886473" w:rsidRDefault="00FD680E">
            <w:pPr>
              <w:spacing w:after="0" w:line="240" w:lineRule="auto"/>
              <w:jc w:val="center"/>
              <w:rPr>
                <w:rFonts w:cstheme="minorHAnsi"/>
              </w:rPr>
            </w:pPr>
          </w:p>
          <w:p w14:paraId="7C7D1B82" w14:textId="77777777" w:rsidR="00FD680E" w:rsidRPr="00886473" w:rsidRDefault="00FD680E">
            <w:pPr>
              <w:spacing w:after="0" w:line="240" w:lineRule="auto"/>
              <w:jc w:val="center"/>
              <w:rPr>
                <w:rFonts w:cstheme="minorHAnsi"/>
              </w:rPr>
            </w:pPr>
          </w:p>
        </w:tc>
      </w:tr>
      <w:tr w:rsidR="00886473" w:rsidRPr="00886473" w14:paraId="2F86B3B5" w14:textId="77777777">
        <w:trPr>
          <w:trHeight w:val="557"/>
          <w:jc w:val="center"/>
        </w:trPr>
        <w:tc>
          <w:tcPr>
            <w:tcW w:w="10466" w:type="dxa"/>
            <w:gridSpan w:val="3"/>
            <w:shd w:val="clear" w:color="auto" w:fill="BDD6EE" w:themeFill="accent5" w:themeFillTint="66"/>
            <w:vAlign w:val="center"/>
          </w:tcPr>
          <w:p w14:paraId="07DC7525" w14:textId="77777777" w:rsidR="00FD680E" w:rsidRPr="00886473" w:rsidRDefault="00975DA0">
            <w:pPr>
              <w:spacing w:after="0" w:line="240" w:lineRule="auto"/>
              <w:jc w:val="center"/>
              <w:rPr>
                <w:rFonts w:cstheme="minorHAnsi"/>
                <w:b/>
              </w:rPr>
            </w:pPr>
            <w:r w:rsidRPr="00886473">
              <w:rPr>
                <w:rFonts w:eastAsia="Calibri" w:cstheme="minorHAnsi"/>
                <w:b/>
              </w:rPr>
              <w:t>TEMA DISCUTIDO</w:t>
            </w:r>
          </w:p>
        </w:tc>
      </w:tr>
      <w:tr w:rsidR="00886473" w:rsidRPr="00886473" w14:paraId="67056968" w14:textId="77777777">
        <w:trPr>
          <w:trHeight w:val="704"/>
          <w:jc w:val="center"/>
        </w:trPr>
        <w:tc>
          <w:tcPr>
            <w:tcW w:w="10466" w:type="dxa"/>
            <w:gridSpan w:val="3"/>
            <w:vAlign w:val="center"/>
          </w:tcPr>
          <w:p w14:paraId="5DA8E11F" w14:textId="77777777" w:rsidR="00FD680E" w:rsidRPr="00886473" w:rsidRDefault="00FD680E">
            <w:pPr>
              <w:spacing w:after="0" w:line="240" w:lineRule="auto"/>
              <w:jc w:val="center"/>
              <w:rPr>
                <w:rFonts w:cstheme="minorHAnsi"/>
              </w:rPr>
            </w:pPr>
          </w:p>
          <w:p w14:paraId="67B26B4C" w14:textId="1F9370A9" w:rsidR="00FD5792" w:rsidRPr="00FD5792" w:rsidRDefault="00214FF2" w:rsidP="00FD5792">
            <w:pPr>
              <w:spacing w:after="0" w:line="240" w:lineRule="auto"/>
              <w:ind w:left="37"/>
              <w:jc w:val="both"/>
              <w:rPr>
                <w:rFonts w:eastAsia="Calibri" w:cstheme="minorHAnsi"/>
                <w:bCs/>
              </w:rPr>
            </w:pPr>
            <w:r>
              <w:rPr>
                <w:rFonts w:eastAsia="Calibri" w:cstheme="minorHAnsi"/>
                <w:bCs/>
              </w:rPr>
              <w:t>Nota Técnica</w:t>
            </w:r>
            <w:r w:rsidR="00FD5792" w:rsidRPr="00FD5792">
              <w:rPr>
                <w:rFonts w:eastAsia="Calibri" w:cstheme="minorHAnsi"/>
                <w:bCs/>
              </w:rPr>
              <w:t xml:space="preserve"> em defesa da</w:t>
            </w:r>
            <w:r>
              <w:rPr>
                <w:rFonts w:eastAsia="Calibri" w:cstheme="minorHAnsi"/>
                <w:bCs/>
              </w:rPr>
              <w:t xml:space="preserve"> mudança do entendimento jurisprudencial</w:t>
            </w:r>
            <w:r w:rsidR="00057000">
              <w:rPr>
                <w:rFonts w:eastAsia="Calibri" w:cstheme="minorHAnsi"/>
                <w:bCs/>
              </w:rPr>
              <w:t xml:space="preserve"> do Supremo Tribunal Federal</w:t>
            </w:r>
            <w:r>
              <w:rPr>
                <w:rFonts w:eastAsia="Calibri" w:cstheme="minorHAnsi"/>
                <w:bCs/>
              </w:rPr>
              <w:t xml:space="preserve"> sobre a constitucionalidade das leis que estabeleçam a eleição direta para o cargo de diretor/diretora escolar, como prática de concretização do princípio constitucional da gestão democrática do ensino</w:t>
            </w:r>
            <w:r w:rsidR="00057000">
              <w:rPr>
                <w:rFonts w:eastAsia="Calibri" w:cstheme="minorHAnsi"/>
                <w:bCs/>
              </w:rPr>
              <w:t xml:space="preserve"> público</w:t>
            </w:r>
            <w:r w:rsidR="00FD5792" w:rsidRPr="00FD5792">
              <w:rPr>
                <w:rFonts w:eastAsia="Calibri" w:cstheme="minorHAnsi"/>
                <w:bCs/>
              </w:rPr>
              <w:t>.</w:t>
            </w:r>
          </w:p>
          <w:p w14:paraId="22D88224" w14:textId="77777777" w:rsidR="00FD680E" w:rsidRPr="00886473" w:rsidRDefault="00FD680E">
            <w:pPr>
              <w:spacing w:after="0" w:line="240" w:lineRule="auto"/>
              <w:jc w:val="center"/>
              <w:rPr>
                <w:rFonts w:cstheme="minorHAnsi"/>
              </w:rPr>
            </w:pPr>
          </w:p>
        </w:tc>
      </w:tr>
      <w:tr w:rsidR="00886473" w:rsidRPr="00886473" w14:paraId="66CB5D04" w14:textId="77777777">
        <w:trPr>
          <w:trHeight w:val="557"/>
          <w:jc w:val="center"/>
        </w:trPr>
        <w:tc>
          <w:tcPr>
            <w:tcW w:w="10466" w:type="dxa"/>
            <w:gridSpan w:val="3"/>
            <w:shd w:val="clear" w:color="auto" w:fill="BDD6EE" w:themeFill="accent5" w:themeFillTint="66"/>
            <w:vAlign w:val="center"/>
          </w:tcPr>
          <w:p w14:paraId="55A99BD0" w14:textId="77777777" w:rsidR="00FD680E" w:rsidRPr="00886473" w:rsidRDefault="00975DA0">
            <w:pPr>
              <w:spacing w:after="0" w:line="240" w:lineRule="auto"/>
              <w:jc w:val="center"/>
              <w:rPr>
                <w:rFonts w:cstheme="minorHAnsi"/>
                <w:b/>
              </w:rPr>
            </w:pPr>
            <w:r w:rsidRPr="00886473">
              <w:rPr>
                <w:rFonts w:eastAsia="Calibri" w:cstheme="minorHAnsi"/>
                <w:b/>
              </w:rPr>
              <w:t xml:space="preserve">URGÊNCIA </w:t>
            </w:r>
          </w:p>
        </w:tc>
      </w:tr>
      <w:tr w:rsidR="00886473" w:rsidRPr="00886473" w14:paraId="72349102" w14:textId="77777777">
        <w:trPr>
          <w:trHeight w:val="557"/>
          <w:jc w:val="center"/>
        </w:trPr>
        <w:tc>
          <w:tcPr>
            <w:tcW w:w="10466" w:type="dxa"/>
            <w:gridSpan w:val="3"/>
            <w:shd w:val="clear" w:color="auto" w:fill="auto"/>
            <w:vAlign w:val="center"/>
          </w:tcPr>
          <w:p w14:paraId="3DEA6739" w14:textId="7564D772" w:rsidR="00FD680E" w:rsidRPr="00886473" w:rsidRDefault="00214FF2">
            <w:pPr>
              <w:spacing w:after="0" w:line="240" w:lineRule="auto"/>
              <w:jc w:val="both"/>
              <w:rPr>
                <w:rFonts w:cstheme="minorHAnsi"/>
                <w:bCs/>
              </w:rPr>
            </w:pPr>
            <w:r>
              <w:rPr>
                <w:rFonts w:eastAsia="Calibri" w:cstheme="minorHAnsi"/>
                <w:b/>
              </w:rPr>
              <w:t>Não há</w:t>
            </w:r>
          </w:p>
          <w:p w14:paraId="6486CA99" w14:textId="77777777" w:rsidR="00FD680E" w:rsidRPr="00886473" w:rsidRDefault="00FD680E">
            <w:pPr>
              <w:spacing w:after="0" w:line="240" w:lineRule="auto"/>
              <w:jc w:val="center"/>
              <w:rPr>
                <w:rFonts w:cstheme="minorHAnsi"/>
                <w:b/>
              </w:rPr>
            </w:pPr>
          </w:p>
          <w:p w14:paraId="22174812" w14:textId="77777777" w:rsidR="00FD680E" w:rsidRPr="00886473" w:rsidRDefault="00FD680E">
            <w:pPr>
              <w:spacing w:after="0" w:line="240" w:lineRule="auto"/>
              <w:jc w:val="center"/>
              <w:rPr>
                <w:rFonts w:cstheme="minorHAnsi"/>
                <w:b/>
              </w:rPr>
            </w:pPr>
          </w:p>
        </w:tc>
      </w:tr>
      <w:tr w:rsidR="00886473" w:rsidRPr="00886473" w14:paraId="11ED8DCB" w14:textId="77777777">
        <w:trPr>
          <w:trHeight w:val="557"/>
          <w:jc w:val="center"/>
        </w:trPr>
        <w:tc>
          <w:tcPr>
            <w:tcW w:w="10466" w:type="dxa"/>
            <w:gridSpan w:val="3"/>
            <w:shd w:val="clear" w:color="auto" w:fill="BDD6EE" w:themeFill="accent5" w:themeFillTint="66"/>
            <w:vAlign w:val="center"/>
          </w:tcPr>
          <w:p w14:paraId="65ABFBF3" w14:textId="77777777" w:rsidR="00FD680E" w:rsidRPr="00886473" w:rsidRDefault="00975DA0">
            <w:pPr>
              <w:spacing w:after="0" w:line="240" w:lineRule="auto"/>
              <w:jc w:val="center"/>
              <w:rPr>
                <w:rFonts w:cstheme="minorHAnsi"/>
                <w:b/>
              </w:rPr>
            </w:pPr>
            <w:r w:rsidRPr="00886473">
              <w:rPr>
                <w:rFonts w:eastAsia="Calibri" w:cstheme="minorHAnsi"/>
                <w:b/>
              </w:rPr>
              <w:t>OBJETIVOS E DIRETRIZES DE ATUAÇÃO ESTRATÉGICA DO MINISTÉRIO PÚBLICO BRASILEIRO</w:t>
            </w:r>
          </w:p>
        </w:tc>
      </w:tr>
      <w:tr w:rsidR="00886473" w:rsidRPr="00886473" w14:paraId="61529A78" w14:textId="77777777">
        <w:trPr>
          <w:trHeight w:val="535"/>
          <w:jc w:val="center"/>
        </w:trPr>
        <w:tc>
          <w:tcPr>
            <w:tcW w:w="10466" w:type="dxa"/>
            <w:gridSpan w:val="3"/>
            <w:shd w:val="clear" w:color="auto" w:fill="auto"/>
            <w:vAlign w:val="center"/>
          </w:tcPr>
          <w:p w14:paraId="61656987" w14:textId="77777777" w:rsidR="00FD680E" w:rsidRPr="00886473" w:rsidRDefault="00975DA0">
            <w:pPr>
              <w:spacing w:after="0" w:line="240" w:lineRule="auto"/>
              <w:jc w:val="center"/>
              <w:rPr>
                <w:rFonts w:cstheme="minorHAnsi"/>
                <w:b/>
              </w:rPr>
            </w:pPr>
            <w:r w:rsidRPr="00886473">
              <w:rPr>
                <w:rFonts w:eastAsia="Calibri" w:cstheme="minorHAnsi"/>
                <w:b/>
              </w:rPr>
              <w:t>Observar o §</w:t>
            </w:r>
            <w:r w:rsidRPr="00FD5792">
              <w:rPr>
                <w:rFonts w:eastAsia="Calibri" w:cstheme="minorHAnsi"/>
                <w:b/>
              </w:rPr>
              <w:t xml:space="preserve"> </w:t>
            </w:r>
            <w:r w:rsidRPr="00886473">
              <w:rPr>
                <w:rFonts w:eastAsia="Calibri" w:cstheme="minorHAnsi"/>
                <w:b/>
              </w:rPr>
              <w:t>1º do art. 11 do Regimento Interno do Grupo Nacional de Direitos Humanos</w:t>
            </w:r>
          </w:p>
          <w:p w14:paraId="0A8E5682" w14:textId="77777777" w:rsidR="00FD680E" w:rsidRPr="00886473" w:rsidRDefault="00FD680E">
            <w:pPr>
              <w:spacing w:after="0" w:line="240" w:lineRule="auto"/>
              <w:jc w:val="center"/>
              <w:rPr>
                <w:rFonts w:cstheme="minorHAnsi"/>
                <w:b/>
              </w:rPr>
            </w:pPr>
          </w:p>
          <w:p w14:paraId="11997360" w14:textId="77777777" w:rsidR="00FD680E" w:rsidRPr="00886473" w:rsidRDefault="00FD680E">
            <w:pPr>
              <w:spacing w:after="0" w:line="240" w:lineRule="auto"/>
              <w:jc w:val="center"/>
              <w:rPr>
                <w:rFonts w:cstheme="minorHAnsi"/>
                <w:b/>
              </w:rPr>
            </w:pPr>
          </w:p>
          <w:p w14:paraId="46EBDB8D" w14:textId="77777777" w:rsidR="00FD680E" w:rsidRPr="00886473" w:rsidRDefault="00FD680E">
            <w:pPr>
              <w:spacing w:after="0" w:line="240" w:lineRule="auto"/>
              <w:jc w:val="center"/>
              <w:rPr>
                <w:rFonts w:cstheme="minorHAnsi"/>
                <w:b/>
              </w:rPr>
            </w:pPr>
          </w:p>
        </w:tc>
      </w:tr>
      <w:tr w:rsidR="00886473" w:rsidRPr="00886473" w14:paraId="57BD597E" w14:textId="77777777">
        <w:trPr>
          <w:trHeight w:val="557"/>
          <w:jc w:val="center"/>
        </w:trPr>
        <w:tc>
          <w:tcPr>
            <w:tcW w:w="10466" w:type="dxa"/>
            <w:gridSpan w:val="3"/>
            <w:shd w:val="clear" w:color="auto" w:fill="BDD6EE" w:themeFill="accent5" w:themeFillTint="66"/>
            <w:vAlign w:val="center"/>
          </w:tcPr>
          <w:p w14:paraId="38FCDD2A" w14:textId="77777777" w:rsidR="00FD680E" w:rsidRPr="00886473" w:rsidRDefault="00975DA0">
            <w:pPr>
              <w:spacing w:after="0" w:line="240" w:lineRule="auto"/>
              <w:jc w:val="center"/>
              <w:rPr>
                <w:rFonts w:cstheme="minorHAnsi"/>
                <w:b/>
              </w:rPr>
            </w:pPr>
            <w:r w:rsidRPr="00886473">
              <w:rPr>
                <w:rFonts w:eastAsia="Calibri" w:cstheme="minorHAnsi"/>
                <w:b/>
              </w:rPr>
              <w:t>QUÓRUM PARA APROVAÇÃO</w:t>
            </w:r>
          </w:p>
        </w:tc>
      </w:tr>
      <w:tr w:rsidR="00886473" w:rsidRPr="00886473" w14:paraId="6D1D419B" w14:textId="77777777">
        <w:trPr>
          <w:trHeight w:val="835"/>
          <w:jc w:val="center"/>
        </w:trPr>
        <w:tc>
          <w:tcPr>
            <w:tcW w:w="10466" w:type="dxa"/>
            <w:gridSpan w:val="3"/>
            <w:shd w:val="clear" w:color="auto" w:fill="auto"/>
            <w:vAlign w:val="center"/>
          </w:tcPr>
          <w:p w14:paraId="161F0A52" w14:textId="77777777" w:rsidR="00FD680E" w:rsidRPr="00886473" w:rsidRDefault="00975DA0">
            <w:pPr>
              <w:spacing w:after="0" w:line="240" w:lineRule="auto"/>
              <w:jc w:val="center"/>
              <w:rPr>
                <w:rFonts w:cstheme="minorHAnsi"/>
                <w:b/>
              </w:rPr>
            </w:pPr>
            <w:r w:rsidRPr="00886473">
              <w:rPr>
                <w:rFonts w:eastAsia="Calibri" w:cstheme="minorHAnsi"/>
                <w:b/>
              </w:rPr>
              <w:t>Teor dos §</w:t>
            </w:r>
            <w:r w:rsidRPr="00FD5792">
              <w:rPr>
                <w:rFonts w:eastAsia="Calibri" w:cstheme="minorHAnsi"/>
                <w:b/>
              </w:rPr>
              <w:t xml:space="preserve"> </w:t>
            </w:r>
            <w:r w:rsidRPr="00886473">
              <w:rPr>
                <w:rFonts w:eastAsia="Calibri" w:cstheme="minorHAnsi"/>
                <w:b/>
              </w:rPr>
              <w:t>2º e §</w:t>
            </w:r>
            <w:r w:rsidRPr="00FD5792">
              <w:rPr>
                <w:rFonts w:eastAsia="Calibri" w:cstheme="minorHAnsi"/>
                <w:b/>
                <w:shd w:val="clear" w:color="auto" w:fill="FFFFFF" w:themeFill="background1"/>
              </w:rPr>
              <w:t xml:space="preserve"> </w:t>
            </w:r>
            <w:r w:rsidRPr="00886473">
              <w:rPr>
                <w:rFonts w:eastAsia="Calibri" w:cstheme="minorHAnsi"/>
                <w:b/>
              </w:rPr>
              <w:t xml:space="preserve">3º do art. 11 do Regimento Interno do Grupo Nacional de Direitos Humanos - </w:t>
            </w:r>
          </w:p>
          <w:p w14:paraId="3FDBB392" w14:textId="77777777" w:rsidR="00FD680E" w:rsidRPr="00886473" w:rsidRDefault="00FD680E">
            <w:pPr>
              <w:spacing w:after="0" w:line="240" w:lineRule="auto"/>
              <w:jc w:val="center"/>
              <w:rPr>
                <w:rFonts w:cstheme="minorHAnsi"/>
                <w:b/>
              </w:rPr>
            </w:pPr>
          </w:p>
          <w:p w14:paraId="35930F63" w14:textId="63E45BA5" w:rsidR="0069631A" w:rsidRDefault="00975DA0" w:rsidP="0069631A">
            <w:pPr>
              <w:spacing w:after="0" w:line="240" w:lineRule="auto"/>
              <w:jc w:val="center"/>
              <w:rPr>
                <w:rFonts w:eastAsia="Calibri" w:cstheme="minorHAnsi"/>
              </w:rPr>
            </w:pPr>
            <w:r w:rsidRPr="00886473">
              <w:rPr>
                <w:rFonts w:eastAsia="Calibri" w:cstheme="minorHAnsi"/>
              </w:rPr>
              <w:t>Na</w:t>
            </w:r>
            <w:r w:rsidR="0069631A">
              <w:rPr>
                <w:rFonts w:eastAsia="Calibri" w:cstheme="minorHAnsi"/>
              </w:rPr>
              <w:t xml:space="preserve"> COPEIJ votaram a favor da nota os MPS: </w:t>
            </w:r>
            <w:r w:rsidR="0069631A" w:rsidRPr="0069631A">
              <w:rPr>
                <w:rFonts w:eastAsia="Calibri" w:cstheme="minorHAnsi"/>
              </w:rPr>
              <w:t>1. MPSC</w:t>
            </w:r>
            <w:r w:rsidR="0069631A">
              <w:rPr>
                <w:rFonts w:eastAsia="Calibri" w:cstheme="minorHAnsi"/>
              </w:rPr>
              <w:t xml:space="preserve">, </w:t>
            </w:r>
            <w:r w:rsidR="0069631A" w:rsidRPr="0069631A">
              <w:rPr>
                <w:rFonts w:eastAsia="Calibri" w:cstheme="minorHAnsi"/>
              </w:rPr>
              <w:t>2. MPMG</w:t>
            </w:r>
            <w:r w:rsidR="0069631A">
              <w:rPr>
                <w:rFonts w:eastAsia="Calibri" w:cstheme="minorHAnsi"/>
              </w:rPr>
              <w:t xml:space="preserve">, </w:t>
            </w:r>
            <w:r w:rsidR="0069631A" w:rsidRPr="0069631A">
              <w:rPr>
                <w:rFonts w:eastAsia="Calibri" w:cstheme="minorHAnsi"/>
              </w:rPr>
              <w:t>3. MPBA</w:t>
            </w:r>
            <w:r w:rsidR="0069631A">
              <w:rPr>
                <w:rFonts w:eastAsia="Calibri" w:cstheme="minorHAnsi"/>
              </w:rPr>
              <w:t xml:space="preserve">, </w:t>
            </w:r>
            <w:r w:rsidR="0069631A" w:rsidRPr="0069631A">
              <w:rPr>
                <w:rFonts w:eastAsia="Calibri" w:cstheme="minorHAnsi"/>
              </w:rPr>
              <w:t>4. MPTO</w:t>
            </w:r>
            <w:r w:rsidR="0069631A">
              <w:rPr>
                <w:rFonts w:eastAsia="Calibri" w:cstheme="minorHAnsi"/>
              </w:rPr>
              <w:t xml:space="preserve">, </w:t>
            </w:r>
            <w:r w:rsidR="0069631A" w:rsidRPr="0069631A">
              <w:rPr>
                <w:rFonts w:eastAsia="Calibri" w:cstheme="minorHAnsi"/>
              </w:rPr>
              <w:t>5. MPSP</w:t>
            </w:r>
            <w:r w:rsidR="0069631A">
              <w:rPr>
                <w:rFonts w:eastAsia="Calibri" w:cstheme="minorHAnsi"/>
              </w:rPr>
              <w:t xml:space="preserve">, </w:t>
            </w:r>
            <w:r w:rsidR="0069631A" w:rsidRPr="0069631A">
              <w:rPr>
                <w:rFonts w:eastAsia="Calibri" w:cstheme="minorHAnsi"/>
              </w:rPr>
              <w:t>6. MPMA</w:t>
            </w:r>
            <w:r w:rsidR="0069631A">
              <w:rPr>
                <w:rFonts w:eastAsia="Calibri" w:cstheme="minorHAnsi"/>
              </w:rPr>
              <w:t xml:space="preserve">, </w:t>
            </w:r>
            <w:r w:rsidR="0069631A" w:rsidRPr="0069631A">
              <w:rPr>
                <w:rFonts w:eastAsia="Calibri" w:cstheme="minorHAnsi"/>
              </w:rPr>
              <w:t>7. MPES</w:t>
            </w:r>
            <w:r w:rsidR="0069631A">
              <w:rPr>
                <w:rFonts w:eastAsia="Calibri" w:cstheme="minorHAnsi"/>
              </w:rPr>
              <w:t xml:space="preserve">, </w:t>
            </w:r>
            <w:r w:rsidR="0069631A" w:rsidRPr="0069631A">
              <w:rPr>
                <w:rFonts w:eastAsia="Calibri" w:cstheme="minorHAnsi"/>
              </w:rPr>
              <w:t>8. MPDFT</w:t>
            </w:r>
            <w:r w:rsidR="0069631A">
              <w:rPr>
                <w:rFonts w:eastAsia="Calibri" w:cstheme="minorHAnsi"/>
              </w:rPr>
              <w:t xml:space="preserve">, </w:t>
            </w:r>
            <w:r w:rsidR="0069631A" w:rsidRPr="0069631A">
              <w:rPr>
                <w:rFonts w:eastAsia="Calibri" w:cstheme="minorHAnsi"/>
              </w:rPr>
              <w:t>9. PROINFÂNCIA</w:t>
            </w:r>
            <w:r w:rsidR="0069631A">
              <w:rPr>
                <w:rFonts w:eastAsia="Calibri" w:cstheme="minorHAnsi"/>
              </w:rPr>
              <w:t xml:space="preserve">, </w:t>
            </w:r>
            <w:r w:rsidR="0069631A" w:rsidRPr="0069631A">
              <w:rPr>
                <w:rFonts w:eastAsia="Calibri" w:cstheme="minorHAnsi"/>
              </w:rPr>
              <w:t>10. MPMT</w:t>
            </w:r>
            <w:r w:rsidR="0069631A">
              <w:rPr>
                <w:rFonts w:eastAsia="Calibri" w:cstheme="minorHAnsi"/>
              </w:rPr>
              <w:t xml:space="preserve">, </w:t>
            </w:r>
            <w:r w:rsidR="0069631A" w:rsidRPr="0069631A">
              <w:rPr>
                <w:rFonts w:eastAsia="Calibri" w:cstheme="minorHAnsi"/>
              </w:rPr>
              <w:t>11. MPRO</w:t>
            </w:r>
            <w:r w:rsidR="0069631A">
              <w:rPr>
                <w:rFonts w:eastAsia="Calibri" w:cstheme="minorHAnsi"/>
              </w:rPr>
              <w:t xml:space="preserve">, </w:t>
            </w:r>
            <w:r w:rsidR="0069631A" w:rsidRPr="0069631A">
              <w:rPr>
                <w:rFonts w:eastAsia="Calibri" w:cstheme="minorHAnsi"/>
              </w:rPr>
              <w:t>12. MPPI</w:t>
            </w:r>
            <w:r w:rsidR="0069631A">
              <w:rPr>
                <w:rFonts w:eastAsia="Calibri" w:cstheme="minorHAnsi"/>
              </w:rPr>
              <w:t>,</w:t>
            </w:r>
            <w:r w:rsidR="0069631A" w:rsidRPr="0069631A">
              <w:rPr>
                <w:rFonts w:eastAsia="Calibri" w:cstheme="minorHAnsi"/>
              </w:rPr>
              <w:t>13. MPRN</w:t>
            </w:r>
            <w:r w:rsidR="0069631A">
              <w:rPr>
                <w:rFonts w:eastAsia="Calibri" w:cstheme="minorHAnsi"/>
              </w:rPr>
              <w:t xml:space="preserve">, </w:t>
            </w:r>
            <w:r w:rsidR="0069631A" w:rsidRPr="0069631A">
              <w:rPr>
                <w:rFonts w:eastAsia="Calibri" w:cstheme="minorHAnsi"/>
              </w:rPr>
              <w:t>14. MPT</w:t>
            </w:r>
            <w:r w:rsidR="0069631A">
              <w:rPr>
                <w:rFonts w:eastAsia="Calibri" w:cstheme="minorHAnsi"/>
              </w:rPr>
              <w:t xml:space="preserve">, </w:t>
            </w:r>
            <w:r w:rsidR="0069631A" w:rsidRPr="0069631A">
              <w:rPr>
                <w:rFonts w:eastAsia="Calibri" w:cstheme="minorHAnsi"/>
              </w:rPr>
              <w:t>15. MPRS</w:t>
            </w:r>
            <w:r w:rsidR="0069631A">
              <w:rPr>
                <w:rFonts w:eastAsia="Calibri" w:cstheme="minorHAnsi"/>
              </w:rPr>
              <w:t xml:space="preserve">, </w:t>
            </w:r>
            <w:r w:rsidR="0069631A" w:rsidRPr="0069631A">
              <w:rPr>
                <w:rFonts w:eastAsia="Calibri" w:cstheme="minorHAnsi"/>
              </w:rPr>
              <w:t>16. MPAM</w:t>
            </w:r>
            <w:r w:rsidR="0069631A">
              <w:rPr>
                <w:rFonts w:eastAsia="Calibri" w:cstheme="minorHAnsi"/>
              </w:rPr>
              <w:t xml:space="preserve">, </w:t>
            </w:r>
            <w:r w:rsidR="0069631A" w:rsidRPr="0069631A">
              <w:rPr>
                <w:rFonts w:eastAsia="Calibri" w:cstheme="minorHAnsi"/>
              </w:rPr>
              <w:t>17. MPPE</w:t>
            </w:r>
            <w:r w:rsidR="0069631A">
              <w:rPr>
                <w:rFonts w:eastAsia="Calibri" w:cstheme="minorHAnsi"/>
              </w:rPr>
              <w:t xml:space="preserve">, </w:t>
            </w:r>
            <w:r w:rsidR="0069631A" w:rsidRPr="0069631A">
              <w:rPr>
                <w:rFonts w:eastAsia="Calibri" w:cstheme="minorHAnsi"/>
              </w:rPr>
              <w:t xml:space="preserve">18. MPAL </w:t>
            </w:r>
            <w:r w:rsidR="0069631A">
              <w:rPr>
                <w:rFonts w:eastAsia="Calibri" w:cstheme="minorHAnsi"/>
              </w:rPr>
              <w:t xml:space="preserve">, </w:t>
            </w:r>
            <w:r w:rsidR="0069631A" w:rsidRPr="0069631A">
              <w:rPr>
                <w:rFonts w:eastAsia="Calibri" w:cstheme="minorHAnsi"/>
              </w:rPr>
              <w:t>19. MPPB</w:t>
            </w:r>
            <w:r w:rsidR="0069631A">
              <w:rPr>
                <w:rFonts w:eastAsia="Calibri" w:cstheme="minorHAnsi"/>
              </w:rPr>
              <w:t xml:space="preserve">, </w:t>
            </w:r>
            <w:r w:rsidR="0069631A" w:rsidRPr="0069631A">
              <w:rPr>
                <w:rFonts w:eastAsia="Calibri" w:cstheme="minorHAnsi"/>
              </w:rPr>
              <w:t>20. MPGO</w:t>
            </w:r>
            <w:r w:rsidR="0069631A">
              <w:rPr>
                <w:rFonts w:eastAsia="Calibri" w:cstheme="minorHAnsi"/>
              </w:rPr>
              <w:t xml:space="preserve"> e </w:t>
            </w:r>
            <w:r w:rsidR="0069631A" w:rsidRPr="0069631A">
              <w:rPr>
                <w:rFonts w:eastAsia="Calibri" w:cstheme="minorHAnsi"/>
              </w:rPr>
              <w:t>21. MPRJ</w:t>
            </w:r>
          </w:p>
          <w:p w14:paraId="22A40576" w14:textId="465492DD" w:rsidR="00FD5792" w:rsidRPr="00FD5792" w:rsidRDefault="00975DA0" w:rsidP="00FD5792">
            <w:pPr>
              <w:spacing w:after="0" w:line="240" w:lineRule="auto"/>
              <w:jc w:val="center"/>
              <w:rPr>
                <w:rFonts w:eastAsia="Calibri" w:cstheme="minorHAnsi"/>
                <w:bCs/>
              </w:rPr>
            </w:pPr>
            <w:r w:rsidRPr="00886473">
              <w:rPr>
                <w:rFonts w:eastAsia="Calibri" w:cstheme="minorHAnsi"/>
              </w:rPr>
              <w:t xml:space="preserve"> COPEDUC votaram a favor da Nota os MPs: </w:t>
            </w:r>
            <w:r w:rsidR="00FD5792" w:rsidRPr="00FD5792">
              <w:rPr>
                <w:rFonts w:eastAsia="Calibri" w:cstheme="minorHAnsi"/>
                <w:bCs/>
              </w:rPr>
              <w:t>1- MPAL</w:t>
            </w:r>
            <w:r w:rsidR="00FD5792">
              <w:rPr>
                <w:rFonts w:eastAsia="Calibri" w:cstheme="minorHAnsi"/>
                <w:bCs/>
              </w:rPr>
              <w:t xml:space="preserve">, </w:t>
            </w:r>
            <w:r w:rsidR="00FD5792" w:rsidRPr="00FD5792">
              <w:rPr>
                <w:rFonts w:eastAsia="Calibri" w:cstheme="minorHAnsi"/>
                <w:bCs/>
              </w:rPr>
              <w:t>2- MPTO</w:t>
            </w:r>
            <w:r w:rsidR="00FD5792">
              <w:rPr>
                <w:rFonts w:eastAsia="Calibri" w:cstheme="minorHAnsi"/>
                <w:bCs/>
              </w:rPr>
              <w:t xml:space="preserve">, </w:t>
            </w:r>
            <w:r w:rsidR="00FD5792" w:rsidRPr="00FD5792">
              <w:rPr>
                <w:rFonts w:eastAsia="Calibri" w:cstheme="minorHAnsi"/>
                <w:bCs/>
              </w:rPr>
              <w:t>3. MPSP</w:t>
            </w:r>
            <w:r w:rsidR="00FD5792">
              <w:rPr>
                <w:rFonts w:eastAsia="Calibri" w:cstheme="minorHAnsi"/>
                <w:bCs/>
              </w:rPr>
              <w:t xml:space="preserve">, </w:t>
            </w:r>
            <w:r w:rsidR="00FD5792" w:rsidRPr="00FD5792">
              <w:rPr>
                <w:rFonts w:eastAsia="Calibri" w:cstheme="minorHAnsi"/>
                <w:bCs/>
              </w:rPr>
              <w:t>4.MPGO</w:t>
            </w:r>
            <w:r w:rsidR="00FD5792">
              <w:rPr>
                <w:rFonts w:eastAsia="Calibri" w:cstheme="minorHAnsi"/>
                <w:bCs/>
              </w:rPr>
              <w:t xml:space="preserve">, </w:t>
            </w:r>
            <w:r w:rsidR="00FD5792" w:rsidRPr="00FD5792">
              <w:rPr>
                <w:rFonts w:eastAsia="Calibri" w:cstheme="minorHAnsi"/>
                <w:bCs/>
              </w:rPr>
              <w:t>5. MPAM</w:t>
            </w:r>
            <w:r w:rsidR="00FD5792">
              <w:rPr>
                <w:rFonts w:eastAsia="Calibri" w:cstheme="minorHAnsi"/>
                <w:bCs/>
              </w:rPr>
              <w:t xml:space="preserve">, </w:t>
            </w:r>
            <w:r w:rsidR="00FD5792" w:rsidRPr="00FD5792">
              <w:rPr>
                <w:rFonts w:eastAsia="Calibri" w:cstheme="minorHAnsi"/>
                <w:bCs/>
              </w:rPr>
              <w:t>6.MPBA</w:t>
            </w:r>
            <w:r w:rsidR="00FD5792">
              <w:rPr>
                <w:rFonts w:eastAsia="Calibri" w:cstheme="minorHAnsi"/>
                <w:bCs/>
              </w:rPr>
              <w:t>,</w:t>
            </w:r>
            <w:r w:rsidR="00FD5792" w:rsidRPr="00FD5792">
              <w:rPr>
                <w:rFonts w:eastAsia="Calibri" w:cstheme="minorHAnsi"/>
                <w:bCs/>
              </w:rPr>
              <w:t xml:space="preserve"> 7.MPPE</w:t>
            </w:r>
            <w:r w:rsidR="00FD5792">
              <w:rPr>
                <w:rFonts w:eastAsia="Calibri" w:cstheme="minorHAnsi"/>
                <w:bCs/>
              </w:rPr>
              <w:t xml:space="preserve">, </w:t>
            </w:r>
            <w:r w:rsidR="00FD5792" w:rsidRPr="00FD5792">
              <w:rPr>
                <w:rFonts w:eastAsia="Calibri" w:cstheme="minorHAnsi"/>
                <w:bCs/>
              </w:rPr>
              <w:t>8.MPRS</w:t>
            </w:r>
            <w:r w:rsidR="00FD5792">
              <w:rPr>
                <w:rFonts w:eastAsia="Calibri" w:cstheme="minorHAnsi"/>
                <w:bCs/>
              </w:rPr>
              <w:t xml:space="preserve">, </w:t>
            </w:r>
            <w:r w:rsidR="00FD5792" w:rsidRPr="00FD5792">
              <w:rPr>
                <w:rFonts w:eastAsia="Calibri" w:cstheme="minorHAnsi"/>
                <w:bCs/>
              </w:rPr>
              <w:t xml:space="preserve">  9. MPDFT</w:t>
            </w:r>
            <w:r w:rsidR="00FD5792">
              <w:rPr>
                <w:rFonts w:eastAsia="Calibri" w:cstheme="minorHAnsi"/>
                <w:bCs/>
              </w:rPr>
              <w:t xml:space="preserve">, </w:t>
            </w:r>
            <w:r w:rsidR="00FD5792" w:rsidRPr="00FD5792">
              <w:rPr>
                <w:rFonts w:eastAsia="Calibri" w:cstheme="minorHAnsi"/>
                <w:bCs/>
              </w:rPr>
              <w:t xml:space="preserve"> 10. MPCE</w:t>
            </w:r>
            <w:r w:rsidR="00FD5792">
              <w:rPr>
                <w:rFonts w:eastAsia="Calibri" w:cstheme="minorHAnsi"/>
                <w:bCs/>
              </w:rPr>
              <w:t xml:space="preserve">, </w:t>
            </w:r>
            <w:r w:rsidR="00FD5792" w:rsidRPr="00FD5792">
              <w:rPr>
                <w:rFonts w:eastAsia="Calibri" w:cstheme="minorHAnsi"/>
                <w:bCs/>
              </w:rPr>
              <w:t>11. MPMG</w:t>
            </w:r>
            <w:r w:rsidR="00FD5792">
              <w:rPr>
                <w:rFonts w:eastAsia="Calibri" w:cstheme="minorHAnsi"/>
                <w:bCs/>
              </w:rPr>
              <w:t xml:space="preserve">, </w:t>
            </w:r>
            <w:r w:rsidR="00FD5792" w:rsidRPr="00FD5792">
              <w:rPr>
                <w:rFonts w:eastAsia="Calibri" w:cstheme="minorHAnsi"/>
                <w:bCs/>
              </w:rPr>
              <w:t>12. MPRJ</w:t>
            </w:r>
            <w:r w:rsidR="00FD5792">
              <w:rPr>
                <w:rFonts w:eastAsia="Calibri" w:cstheme="minorHAnsi"/>
                <w:bCs/>
              </w:rPr>
              <w:t xml:space="preserve">, </w:t>
            </w:r>
            <w:r w:rsidR="00FD5792" w:rsidRPr="00FD5792">
              <w:rPr>
                <w:rFonts w:eastAsia="Calibri" w:cstheme="minorHAnsi"/>
                <w:bCs/>
              </w:rPr>
              <w:t>13. MPSC</w:t>
            </w:r>
          </w:p>
          <w:p w14:paraId="5C8FBE10" w14:textId="09725118" w:rsidR="00FD5792" w:rsidRPr="00FD5792" w:rsidRDefault="00FD5792" w:rsidP="00FD5792">
            <w:pPr>
              <w:spacing w:after="0" w:line="240" w:lineRule="auto"/>
              <w:jc w:val="center"/>
              <w:rPr>
                <w:rFonts w:eastAsia="Calibri" w:cstheme="minorHAnsi"/>
                <w:bCs/>
              </w:rPr>
            </w:pPr>
          </w:p>
          <w:p w14:paraId="021FE5A3" w14:textId="76A79E1E" w:rsidR="00FD680E" w:rsidRPr="0069631A" w:rsidRDefault="00FD5792" w:rsidP="0069631A">
            <w:pPr>
              <w:spacing w:after="0" w:line="240" w:lineRule="auto"/>
              <w:jc w:val="center"/>
              <w:rPr>
                <w:rFonts w:eastAsia="Calibri" w:cstheme="minorHAnsi"/>
                <w:bCs/>
              </w:rPr>
            </w:pPr>
            <w:r w:rsidRPr="00FD5792">
              <w:rPr>
                <w:rFonts w:eastAsia="Calibri" w:cstheme="minorHAnsi"/>
                <w:bCs/>
              </w:rPr>
              <w:t xml:space="preserve">          </w:t>
            </w:r>
          </w:p>
          <w:p w14:paraId="1CB95EE1" w14:textId="77777777" w:rsidR="00FD680E" w:rsidRPr="00886473" w:rsidRDefault="00975DA0">
            <w:pPr>
              <w:spacing w:after="0" w:line="240" w:lineRule="auto"/>
              <w:rPr>
                <w:rFonts w:cstheme="minorHAnsi"/>
                <w:b/>
              </w:rPr>
            </w:pPr>
            <w:r w:rsidRPr="00886473">
              <w:rPr>
                <w:rFonts w:eastAsia="Calibri" w:cstheme="minorHAnsi"/>
              </w:rPr>
              <w:t xml:space="preserve">Não houve </w:t>
            </w:r>
            <w:r w:rsidRPr="00886473">
              <w:rPr>
                <w:rFonts w:eastAsia="Calibri" w:cstheme="minorHAnsi"/>
              </w:rPr>
              <w:t>voto contrário à presente Nota Técnica em nenhuma das comissões.</w:t>
            </w:r>
          </w:p>
          <w:p w14:paraId="0E79AE38" w14:textId="77777777" w:rsidR="00FD680E" w:rsidRPr="00886473" w:rsidRDefault="00FD680E">
            <w:pPr>
              <w:spacing w:after="0" w:line="240" w:lineRule="auto"/>
              <w:jc w:val="center"/>
              <w:rPr>
                <w:rFonts w:cstheme="minorHAnsi"/>
                <w:b/>
              </w:rPr>
            </w:pPr>
          </w:p>
        </w:tc>
      </w:tr>
      <w:tr w:rsidR="00886473" w:rsidRPr="00886473" w14:paraId="172344A8" w14:textId="77777777">
        <w:trPr>
          <w:trHeight w:val="557"/>
          <w:jc w:val="center"/>
        </w:trPr>
        <w:tc>
          <w:tcPr>
            <w:tcW w:w="10466" w:type="dxa"/>
            <w:gridSpan w:val="3"/>
            <w:shd w:val="clear" w:color="auto" w:fill="BDD6EE" w:themeFill="accent5" w:themeFillTint="66"/>
            <w:vAlign w:val="center"/>
          </w:tcPr>
          <w:p w14:paraId="166AB80B" w14:textId="77777777" w:rsidR="00FD680E" w:rsidRPr="00886473" w:rsidRDefault="00975DA0">
            <w:pPr>
              <w:spacing w:after="0" w:line="240" w:lineRule="auto"/>
              <w:jc w:val="center"/>
              <w:rPr>
                <w:rFonts w:cstheme="minorHAnsi"/>
                <w:b/>
              </w:rPr>
            </w:pPr>
            <w:r w:rsidRPr="00886473">
              <w:rPr>
                <w:rFonts w:eastAsia="Calibri" w:cstheme="minorHAnsi"/>
                <w:b/>
              </w:rPr>
              <w:t>TEXTO</w:t>
            </w:r>
          </w:p>
        </w:tc>
      </w:tr>
      <w:tr w:rsidR="00886473" w:rsidRPr="00886473" w14:paraId="116EBFF3" w14:textId="77777777">
        <w:trPr>
          <w:trHeight w:val="557"/>
          <w:jc w:val="center"/>
        </w:trPr>
        <w:tc>
          <w:tcPr>
            <w:tcW w:w="10466" w:type="dxa"/>
            <w:gridSpan w:val="3"/>
            <w:shd w:val="clear" w:color="auto" w:fill="auto"/>
            <w:vAlign w:val="center"/>
          </w:tcPr>
          <w:p w14:paraId="3F0D9F86" w14:textId="77777777" w:rsidR="00FD680E" w:rsidRPr="00886473" w:rsidRDefault="00FD680E">
            <w:pPr>
              <w:spacing w:before="60" w:after="60" w:line="240" w:lineRule="auto"/>
              <w:jc w:val="center"/>
              <w:rPr>
                <w:rFonts w:cstheme="minorHAnsi"/>
                <w:b/>
                <w:bCs/>
              </w:rPr>
            </w:pPr>
          </w:p>
          <w:p w14:paraId="08AD9DE4" w14:textId="3BC9FB54" w:rsidR="00FD680E" w:rsidRPr="00886473" w:rsidRDefault="00975DA0">
            <w:pPr>
              <w:spacing w:before="60" w:after="60" w:line="240" w:lineRule="auto"/>
              <w:jc w:val="center"/>
              <w:rPr>
                <w:rFonts w:cstheme="minorHAnsi"/>
                <w:b/>
                <w:bCs/>
              </w:rPr>
            </w:pPr>
            <w:r w:rsidRPr="00886473">
              <w:rPr>
                <w:rFonts w:eastAsia="Calibri" w:cstheme="minorHAnsi"/>
                <w:b/>
                <w:bCs/>
              </w:rPr>
              <w:t xml:space="preserve">NOTA </w:t>
            </w:r>
            <w:r w:rsidR="00214FF2">
              <w:rPr>
                <w:rFonts w:eastAsia="Calibri" w:cstheme="minorHAnsi"/>
                <w:b/>
                <w:bCs/>
              </w:rPr>
              <w:t>TÉCNICA</w:t>
            </w:r>
            <w:r w:rsidR="0069631A">
              <w:rPr>
                <w:rFonts w:eastAsia="Calibri" w:cstheme="minorHAnsi"/>
                <w:b/>
                <w:bCs/>
              </w:rPr>
              <w:t xml:space="preserve"> </w:t>
            </w:r>
            <w:r w:rsidRPr="00886473">
              <w:rPr>
                <w:rFonts w:eastAsia="Calibri" w:cstheme="minorHAnsi"/>
                <w:b/>
                <w:bCs/>
              </w:rPr>
              <w:t>Nº ___/2022</w:t>
            </w:r>
          </w:p>
          <w:p w14:paraId="078EEEE0" w14:textId="77777777" w:rsidR="00FD680E" w:rsidRPr="00886473" w:rsidRDefault="00FD680E">
            <w:pPr>
              <w:spacing w:after="0" w:line="240" w:lineRule="auto"/>
              <w:ind w:left="37"/>
              <w:jc w:val="both"/>
              <w:rPr>
                <w:rFonts w:cstheme="minorHAnsi"/>
                <w:b/>
              </w:rPr>
            </w:pPr>
          </w:p>
        </w:tc>
      </w:tr>
      <w:tr w:rsidR="00886473" w:rsidRPr="00886473" w14:paraId="49447FA5" w14:textId="77777777">
        <w:trPr>
          <w:trHeight w:val="557"/>
          <w:jc w:val="center"/>
        </w:trPr>
        <w:tc>
          <w:tcPr>
            <w:tcW w:w="10466" w:type="dxa"/>
            <w:gridSpan w:val="3"/>
            <w:shd w:val="clear" w:color="auto" w:fill="auto"/>
            <w:vAlign w:val="center"/>
          </w:tcPr>
          <w:p w14:paraId="60C68612" w14:textId="3047EADC" w:rsidR="00FD680E" w:rsidRPr="0069631A" w:rsidRDefault="00975DA0" w:rsidP="0069631A">
            <w:pPr>
              <w:spacing w:after="0" w:line="240" w:lineRule="auto"/>
              <w:ind w:left="37"/>
              <w:jc w:val="both"/>
              <w:rPr>
                <w:rFonts w:eastAsia="Calibri" w:cstheme="minorHAnsi"/>
                <w:b/>
                <w:bCs/>
              </w:rPr>
            </w:pPr>
            <w:r w:rsidRPr="00886473">
              <w:rPr>
                <w:rFonts w:eastAsia="Calibri" w:cstheme="minorHAnsi"/>
                <w:b/>
                <w:u w:val="single"/>
              </w:rPr>
              <w:t>EMENTA:</w:t>
            </w:r>
            <w:r w:rsidR="0069631A">
              <w:rPr>
                <w:rFonts w:eastAsia="Calibri" w:cstheme="minorHAnsi"/>
                <w:b/>
                <w:bCs/>
              </w:rPr>
              <w:t xml:space="preserve"> </w:t>
            </w:r>
            <w:r w:rsidR="00214FF2">
              <w:rPr>
                <w:rFonts w:eastAsia="Calibri" w:cstheme="minorHAnsi"/>
                <w:b/>
                <w:bCs/>
              </w:rPr>
              <w:t>Gestão democrática do ensino</w:t>
            </w:r>
            <w:r w:rsidR="003E32DF">
              <w:rPr>
                <w:rFonts w:eastAsia="Calibri" w:cstheme="minorHAnsi"/>
                <w:b/>
                <w:bCs/>
              </w:rPr>
              <w:t xml:space="preserve"> na escola pública</w:t>
            </w:r>
            <w:r w:rsidR="00214FF2">
              <w:rPr>
                <w:rFonts w:eastAsia="Calibri" w:cstheme="minorHAnsi"/>
                <w:b/>
                <w:bCs/>
              </w:rPr>
              <w:t xml:space="preserve">. Leis de eleição direta para o cargo de diretor(a) escolar. Jurisprudência contrária consolidada perante o Supremo Tribunal Federal. Novo cenário sociojurídico. </w:t>
            </w:r>
            <w:r w:rsidR="00214FF2">
              <w:rPr>
                <w:rFonts w:eastAsia="Calibri" w:cstheme="minorHAnsi"/>
                <w:b/>
                <w:bCs/>
              </w:rPr>
              <w:lastRenderedPageBreak/>
              <w:t xml:space="preserve">Lei n.º </w:t>
            </w:r>
            <w:r w:rsidR="00932B1B" w:rsidRPr="00932B1B">
              <w:rPr>
                <w:rFonts w:eastAsia="Calibri" w:cstheme="minorHAnsi"/>
                <w:b/>
                <w:bCs/>
              </w:rPr>
              <w:t>13.005/2014</w:t>
            </w:r>
            <w:r w:rsidR="00214FF2">
              <w:rPr>
                <w:rFonts w:eastAsia="Calibri" w:cstheme="minorHAnsi"/>
                <w:b/>
                <w:bCs/>
              </w:rPr>
              <w:t>. Posicionamento do Ministério Público brasileiro para modificação jurisprudencial, com alargamento do espaço democrático no ensino</w:t>
            </w:r>
            <w:r w:rsidR="00057000">
              <w:rPr>
                <w:rFonts w:eastAsia="Calibri" w:cstheme="minorHAnsi"/>
                <w:b/>
                <w:bCs/>
              </w:rPr>
              <w:t xml:space="preserve"> público</w:t>
            </w:r>
            <w:r w:rsidR="0069631A" w:rsidRPr="0069631A">
              <w:rPr>
                <w:rFonts w:eastAsia="Calibri" w:cstheme="minorHAnsi"/>
                <w:b/>
                <w:bCs/>
              </w:rPr>
              <w:t>.</w:t>
            </w:r>
          </w:p>
          <w:p w14:paraId="3B12549B" w14:textId="77777777" w:rsidR="00FD680E" w:rsidRPr="00886473" w:rsidRDefault="00FD680E">
            <w:pPr>
              <w:spacing w:after="0" w:line="240" w:lineRule="auto"/>
              <w:ind w:left="37"/>
              <w:jc w:val="both"/>
              <w:rPr>
                <w:rFonts w:cstheme="minorHAnsi"/>
                <w:b/>
              </w:rPr>
            </w:pPr>
          </w:p>
        </w:tc>
      </w:tr>
      <w:tr w:rsidR="00886473" w:rsidRPr="00886473" w14:paraId="25CCA7CF" w14:textId="77777777">
        <w:trPr>
          <w:trHeight w:val="557"/>
          <w:jc w:val="center"/>
        </w:trPr>
        <w:tc>
          <w:tcPr>
            <w:tcW w:w="10466" w:type="dxa"/>
            <w:gridSpan w:val="3"/>
            <w:shd w:val="clear" w:color="auto" w:fill="auto"/>
            <w:vAlign w:val="center"/>
          </w:tcPr>
          <w:p w14:paraId="55719F73" w14:textId="052CB837" w:rsidR="0069631A" w:rsidRPr="00932B1B" w:rsidRDefault="00975DA0" w:rsidP="0069631A">
            <w:pPr>
              <w:spacing w:before="120" w:after="120" w:line="276" w:lineRule="auto"/>
              <w:ind w:firstLine="1134"/>
              <w:jc w:val="both"/>
              <w:rPr>
                <w:rFonts w:ascii="Times New Roman" w:eastAsia="Times New Roman" w:hAnsi="Times New Roman" w:cs="Times New Roman"/>
                <w:sz w:val="24"/>
                <w:szCs w:val="24"/>
              </w:rPr>
            </w:pPr>
            <w:bookmarkStart w:id="0" w:name="_GoBack"/>
            <w:bookmarkEnd w:id="0"/>
            <w:r w:rsidRPr="00886473">
              <w:rPr>
                <w:rFonts w:ascii="Times New Roman" w:eastAsia="Calibri" w:hAnsi="Times New Roman" w:cs="Times New Roman"/>
              </w:rPr>
              <w:lastRenderedPageBreak/>
              <w:t xml:space="preserve">     </w:t>
            </w:r>
            <w:r w:rsidR="0069631A" w:rsidRPr="00932B1B">
              <w:rPr>
                <w:rFonts w:ascii="Times New Roman" w:eastAsia="Times New Roman" w:hAnsi="Times New Roman" w:cs="Times New Roman"/>
                <w:color w:val="000000" w:themeColor="text1"/>
                <w:sz w:val="24"/>
                <w:szCs w:val="24"/>
              </w:rPr>
              <w:t xml:space="preserve">A Comissão Permanente </w:t>
            </w:r>
            <w:r w:rsidR="00214FF2" w:rsidRPr="00932B1B">
              <w:rPr>
                <w:rFonts w:ascii="Times New Roman" w:eastAsia="Times New Roman" w:hAnsi="Times New Roman" w:cs="Times New Roman"/>
                <w:color w:val="000000" w:themeColor="text1"/>
                <w:sz w:val="24"/>
                <w:szCs w:val="24"/>
              </w:rPr>
              <w:t>de Educação (COPEDUC),</w:t>
            </w:r>
            <w:r w:rsidR="0069631A" w:rsidRPr="00932B1B">
              <w:rPr>
                <w:rFonts w:ascii="Times New Roman" w:eastAsia="Times New Roman" w:hAnsi="Times New Roman" w:cs="Times New Roman"/>
                <w:color w:val="000000" w:themeColor="text1"/>
                <w:sz w:val="24"/>
                <w:szCs w:val="24"/>
              </w:rPr>
              <w:t xml:space="preserve"> do Grupo Nacional de Direitos Humanos (GNDH), vinculado ao Conselho Nacional de Procuradores Gerais do Ministério Público dos Estados e da União (CNPG</w:t>
            </w:r>
            <w:r w:rsidR="00214FF2" w:rsidRPr="00932B1B">
              <w:rPr>
                <w:rFonts w:ascii="Times New Roman" w:eastAsia="Times New Roman" w:hAnsi="Times New Roman" w:cs="Times New Roman"/>
                <w:color w:val="000000" w:themeColor="text1"/>
                <w:sz w:val="24"/>
                <w:szCs w:val="24"/>
              </w:rPr>
              <w:t>), considerando o necessário debate sobre o princípio constitucional a gestão democrática do ensino na escola pública</w:t>
            </w:r>
            <w:r w:rsidR="0069631A" w:rsidRPr="00932B1B">
              <w:rPr>
                <w:rFonts w:ascii="Times New Roman" w:eastAsia="Times New Roman" w:hAnsi="Times New Roman" w:cs="Times New Roman"/>
                <w:color w:val="000000" w:themeColor="text1"/>
                <w:sz w:val="24"/>
                <w:szCs w:val="24"/>
              </w:rPr>
              <w:t>,</w:t>
            </w:r>
            <w:r w:rsidR="003E32DF" w:rsidRPr="00932B1B">
              <w:rPr>
                <w:rFonts w:ascii="Times New Roman" w:eastAsia="Times New Roman" w:hAnsi="Times New Roman" w:cs="Times New Roman"/>
                <w:color w:val="000000" w:themeColor="text1"/>
                <w:sz w:val="24"/>
                <w:szCs w:val="24"/>
              </w:rPr>
              <w:t xml:space="preserve"> vem, pela presente nota técnica</w:t>
            </w:r>
            <w:r w:rsidR="0069631A" w:rsidRPr="00932B1B">
              <w:rPr>
                <w:rFonts w:ascii="Times New Roman" w:eastAsia="Times New Roman" w:hAnsi="Times New Roman" w:cs="Times New Roman"/>
                <w:color w:val="000000" w:themeColor="text1"/>
                <w:sz w:val="24"/>
                <w:szCs w:val="24"/>
              </w:rPr>
              <w:t>, manifestar</w:t>
            </w:r>
            <w:r w:rsidR="003E32DF" w:rsidRPr="00932B1B">
              <w:rPr>
                <w:rFonts w:ascii="Times New Roman" w:eastAsia="Times New Roman" w:hAnsi="Times New Roman" w:cs="Times New Roman"/>
                <w:color w:val="000000" w:themeColor="text1"/>
                <w:sz w:val="24"/>
                <w:szCs w:val="24"/>
              </w:rPr>
              <w:t xml:space="preserve"> seu posicionamento em prol da rediscussão e modificação da jurisprudência do Supremo Tribunal Federal, que reconhece a inconstitucionalidade das leis que estabeleçam a eleição direta como forma de seleção para o cargo de diretor(a) escolar</w:t>
            </w:r>
            <w:r w:rsidR="0069631A" w:rsidRPr="00932B1B">
              <w:rPr>
                <w:rFonts w:ascii="Times New Roman" w:eastAsia="Times New Roman" w:hAnsi="Times New Roman" w:cs="Times New Roman"/>
                <w:sz w:val="24"/>
                <w:szCs w:val="24"/>
              </w:rPr>
              <w:t>.</w:t>
            </w:r>
          </w:p>
          <w:p w14:paraId="1593364B" w14:textId="5C76D35A" w:rsidR="003E32DF" w:rsidRPr="00932B1B" w:rsidRDefault="003E32DF"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A Constituição Federal de 1988, construída com a efetiva participação dos movimentos sociais, estabeleceu em seu artigo 206, inciso VI, que o ensino nas escolas da rede pública deve ser ministrado com base no princípio da gestão democrática, essa a ser definida na forma da lei.</w:t>
            </w:r>
          </w:p>
          <w:p w14:paraId="55970CF8" w14:textId="06E30282" w:rsidR="006D060E" w:rsidRPr="00932B1B" w:rsidRDefault="006D060E"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Observada a autonomia dos entes federados, diversos atos normativos, fundados no referido princípio, foram criados com o objetivo de estabelecer a indicação do diretor(a) escolar por meio de eleição direta pela comunidade escolar.</w:t>
            </w:r>
          </w:p>
          <w:p w14:paraId="4DE3F24B" w14:textId="69C84703" w:rsidR="006D060E" w:rsidRPr="00932B1B" w:rsidRDefault="006D060E"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Não obstante o espaço normativo permitido à ampliação da participação democrática em tema de interesse tão importante à sociedade, como o é a educação e a gestão do ensino, o Supremo Tribunal Federal, em julgamento às ADIs 123 (do ano de 1997) e 2997 (do ano de 2009), firmou jurisprudência no sentido da inconstitucionalidade de leis que estabelecessem a eleição direta para o cargo de diretor(a) escolar, sob o argumento de que tais normas ofenderiam a prerrogativa constitucional dos Chefes do Poder Executivo de promoverem a livre nomeação e exoneração de cargos comissionados, como seriam os cargos de gestores(as) escolares.</w:t>
            </w:r>
          </w:p>
          <w:p w14:paraId="43593394" w14:textId="734442E8" w:rsidR="006D060E" w:rsidRPr="00932B1B" w:rsidRDefault="006D060E" w:rsidP="006D060E">
            <w:pPr>
              <w:spacing w:before="120" w:after="120" w:line="276" w:lineRule="auto"/>
              <w:ind w:firstLine="1134"/>
              <w:jc w:val="both"/>
              <w:rPr>
                <w:rFonts w:ascii="Times New Roman" w:hAnsi="Times New Roman" w:cs="Times New Roman"/>
                <w:sz w:val="24"/>
                <w:szCs w:val="24"/>
              </w:rPr>
            </w:pPr>
            <w:r w:rsidRPr="00932B1B">
              <w:rPr>
                <w:rFonts w:ascii="Times New Roman" w:eastAsia="Times New Roman" w:hAnsi="Times New Roman" w:cs="Times New Roman"/>
                <w:sz w:val="24"/>
                <w:szCs w:val="24"/>
              </w:rPr>
              <w:t>Em que pesem a apreciação e os fundamentos dispendidos pela Suprema Corte</w:t>
            </w:r>
            <w:r w:rsidR="005D5165" w:rsidRPr="00932B1B">
              <w:rPr>
                <w:rFonts w:ascii="Times New Roman" w:eastAsia="Times New Roman" w:hAnsi="Times New Roman" w:cs="Times New Roman"/>
                <w:sz w:val="24"/>
                <w:szCs w:val="24"/>
              </w:rPr>
              <w:t xml:space="preserve"> nos referidos julgados</w:t>
            </w:r>
            <w:r w:rsidRPr="00932B1B">
              <w:rPr>
                <w:rFonts w:ascii="Times New Roman" w:eastAsia="Times New Roman" w:hAnsi="Times New Roman" w:cs="Times New Roman"/>
                <w:sz w:val="24"/>
                <w:szCs w:val="24"/>
              </w:rPr>
              <w:t>, é inegável que o direito, em especial os direitos humanos</w:t>
            </w:r>
            <w:r w:rsidR="005D5165" w:rsidRPr="00932B1B">
              <w:rPr>
                <w:rFonts w:ascii="Times New Roman" w:eastAsia="Times New Roman" w:hAnsi="Times New Roman" w:cs="Times New Roman"/>
                <w:sz w:val="24"/>
                <w:szCs w:val="24"/>
              </w:rPr>
              <w:t>, como o é o direito à educação</w:t>
            </w:r>
            <w:r w:rsidRPr="00932B1B">
              <w:rPr>
                <w:rFonts w:ascii="Times New Roman" w:eastAsia="Times New Roman" w:hAnsi="Times New Roman" w:cs="Times New Roman"/>
                <w:sz w:val="24"/>
                <w:szCs w:val="24"/>
              </w:rPr>
              <w:t>, enquanto fruto das lutas históricas da sociedade</w:t>
            </w:r>
            <w:r w:rsidR="005D5165" w:rsidRPr="00932B1B">
              <w:rPr>
                <w:rFonts w:ascii="Times New Roman" w:eastAsia="Times New Roman" w:hAnsi="Times New Roman" w:cs="Times New Roman"/>
                <w:sz w:val="24"/>
                <w:szCs w:val="24"/>
              </w:rPr>
              <w:t xml:space="preserve"> </w:t>
            </w:r>
            <w:r w:rsidR="005D5165" w:rsidRPr="00932B1B">
              <w:rPr>
                <w:rFonts w:ascii="Times New Roman" w:hAnsi="Times New Roman" w:cs="Times New Roman"/>
                <w:sz w:val="24"/>
                <w:szCs w:val="24"/>
              </w:rPr>
              <w:t>(ESCRIVÃO FILHO e SOUSA JÚNIOR, 2016)</w:t>
            </w:r>
            <w:r w:rsidR="005D5165" w:rsidRPr="00932B1B">
              <w:rPr>
                <w:rFonts w:ascii="Times New Roman" w:hAnsi="Times New Roman" w:cs="Times New Roman"/>
                <w:sz w:val="24"/>
                <w:szCs w:val="24"/>
              </w:rPr>
              <w:t xml:space="preserve">, está em constante transformação, cujo sentido, eticamente considerado, deve ser sempre o de sua ampliação, em prol da ressignificação do direito enquanto espaço de liberdade construído a partir da legítima organização democrática da sociedade </w:t>
            </w:r>
            <w:r w:rsidR="005D5165" w:rsidRPr="00932B1B">
              <w:rPr>
                <w:rFonts w:ascii="Times New Roman" w:hAnsi="Times New Roman" w:cs="Times New Roman"/>
                <w:sz w:val="24"/>
                <w:szCs w:val="24"/>
              </w:rPr>
              <w:t>(LYRA FILHO, 2017)</w:t>
            </w:r>
            <w:r w:rsidR="005D5165" w:rsidRPr="00932B1B">
              <w:rPr>
                <w:rFonts w:ascii="Times New Roman" w:hAnsi="Times New Roman" w:cs="Times New Roman"/>
                <w:sz w:val="24"/>
                <w:szCs w:val="24"/>
              </w:rPr>
              <w:t>.</w:t>
            </w:r>
          </w:p>
          <w:p w14:paraId="1CC7BFAF" w14:textId="26581A90" w:rsidR="005D5165" w:rsidRPr="00932B1B" w:rsidRDefault="005D5165" w:rsidP="006D060E">
            <w:pPr>
              <w:spacing w:before="120" w:after="120" w:line="276" w:lineRule="auto"/>
              <w:ind w:firstLine="1134"/>
              <w:jc w:val="both"/>
              <w:rPr>
                <w:rFonts w:ascii="Times New Roman" w:hAnsi="Times New Roman" w:cs="Times New Roman"/>
                <w:sz w:val="24"/>
                <w:szCs w:val="24"/>
              </w:rPr>
            </w:pPr>
            <w:r w:rsidRPr="00932B1B">
              <w:rPr>
                <w:rFonts w:ascii="Times New Roman" w:hAnsi="Times New Roman" w:cs="Times New Roman"/>
                <w:sz w:val="24"/>
                <w:szCs w:val="24"/>
              </w:rPr>
              <w:t>Partindo dessas premissas, e reconhecendo ao Ministério Público o importante papel para a ampliação d</w:t>
            </w:r>
            <w:r w:rsidR="00C15905" w:rsidRPr="00932B1B">
              <w:rPr>
                <w:rFonts w:ascii="Times New Roman" w:hAnsi="Times New Roman" w:cs="Times New Roman"/>
                <w:sz w:val="24"/>
                <w:szCs w:val="24"/>
              </w:rPr>
              <w:t>os direitos que derivem do regime democrático</w:t>
            </w:r>
            <w:r w:rsidRPr="00932B1B">
              <w:rPr>
                <w:rFonts w:ascii="Times New Roman" w:hAnsi="Times New Roman" w:cs="Times New Roman"/>
                <w:sz w:val="24"/>
                <w:szCs w:val="24"/>
              </w:rPr>
              <w:t xml:space="preserve"> (artigo 5º, §2º, da CF/88)</w:t>
            </w:r>
            <w:r w:rsidR="00C15905" w:rsidRPr="00932B1B">
              <w:rPr>
                <w:rFonts w:ascii="Times New Roman" w:hAnsi="Times New Roman" w:cs="Times New Roman"/>
                <w:sz w:val="24"/>
                <w:szCs w:val="24"/>
              </w:rPr>
              <w:t>, é que se põe em discussão a legitimidade atual da construção da referida jurisprudência do Supremo Tribunal Federal.</w:t>
            </w:r>
          </w:p>
          <w:p w14:paraId="3FBE56AE" w14:textId="51A33DE7" w:rsidR="00C15905" w:rsidRPr="00932B1B" w:rsidRDefault="00C15905"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É certo que o princípio da segurança jurídica impõe que as decisões das cortes de justiça devam sempre se pautar pela sua regularidade, de forma a se atingir a mesma conclusão ante as mesmas questões, independentemente das partes envolvidas.</w:t>
            </w:r>
          </w:p>
          <w:p w14:paraId="7E8AA22D" w14:textId="4CC67169" w:rsidR="00C15905" w:rsidRPr="00932B1B" w:rsidRDefault="00C15905"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Não obstante, como reflexo de uma sociedade em constante mutação, as mesmas cortes, ante novos fenômenos, devem sempre refletir sobre suas jurisprudências, a fim de que não as tornem o “túmulo do direito”, mas sirvam de sua plena efetivação.</w:t>
            </w:r>
          </w:p>
          <w:p w14:paraId="62C666FA" w14:textId="55B951BA" w:rsidR="00E65AE2" w:rsidRPr="00932B1B" w:rsidRDefault="00E65AE2"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Nesse caminho, é de grande relevância a proposição de Härberle, ao sustentar que o processo de interpretação constitucional não é construído apenas pelos entendimentos das cortes, mas especialmente pela sociedade através de suas diversas relações e construções do normativo no material:</w:t>
            </w:r>
          </w:p>
          <w:p w14:paraId="41813B3D" w14:textId="07BE2C37" w:rsidR="00E65AE2" w:rsidRPr="00932B1B" w:rsidRDefault="00E65AE2"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 xml:space="preserve">“O processo de interpretação constitucional deve ser ampliado para além do processo constitucional concreto. O raio de interpretação normativa amplia-se graças aos ‘intérpretes da Constituição da sociedade aberta’. Eles são participantes fundamentais no processo de </w:t>
            </w:r>
            <w:r w:rsidRPr="00932B1B">
              <w:rPr>
                <w:rFonts w:ascii="Times New Roman" w:eastAsia="Times New Roman" w:hAnsi="Times New Roman" w:cs="Times New Roman"/>
                <w:i/>
                <w:sz w:val="24"/>
                <w:szCs w:val="24"/>
              </w:rPr>
              <w:t>trial and error</w:t>
            </w:r>
            <w:r w:rsidRPr="00932B1B">
              <w:rPr>
                <w:rFonts w:ascii="Times New Roman" w:eastAsia="Times New Roman" w:hAnsi="Times New Roman" w:cs="Times New Roman"/>
                <w:sz w:val="24"/>
                <w:szCs w:val="24"/>
              </w:rPr>
              <w:t xml:space="preserve">, de descoberta e de obtenção do direito. A sociedade torna-se aberta e livre, porque todos estão em potencial e atualmente aptos </w:t>
            </w:r>
            <w:r w:rsidRPr="00932B1B">
              <w:rPr>
                <w:rFonts w:ascii="Times New Roman" w:eastAsia="Times New Roman" w:hAnsi="Times New Roman" w:cs="Times New Roman"/>
                <w:sz w:val="24"/>
                <w:szCs w:val="24"/>
              </w:rPr>
              <w:lastRenderedPageBreak/>
              <w:t xml:space="preserve">a oferecer alternativas para interpretação constitucional. A interpretação constitucional jurídica traduz (apenas) a pluralidade da esfera pública </w:t>
            </w:r>
            <w:r w:rsidR="00D553C4" w:rsidRPr="00932B1B">
              <w:rPr>
                <w:rFonts w:ascii="Times New Roman" w:eastAsia="Times New Roman" w:hAnsi="Times New Roman" w:cs="Times New Roman"/>
                <w:sz w:val="24"/>
                <w:szCs w:val="24"/>
              </w:rPr>
              <w:t>e da realidade (</w:t>
            </w:r>
            <w:r w:rsidR="00D553C4" w:rsidRPr="00932B1B">
              <w:rPr>
                <w:rFonts w:ascii="Times New Roman" w:eastAsia="Times New Roman" w:hAnsi="Times New Roman" w:cs="Times New Roman"/>
                <w:i/>
                <w:sz w:val="24"/>
                <w:szCs w:val="24"/>
              </w:rPr>
              <w:t>die pluralistische Öffentlichkeit und Wirklichkeit</w:t>
            </w:r>
            <w:r w:rsidR="00D553C4" w:rsidRPr="00932B1B">
              <w:rPr>
                <w:rFonts w:ascii="Times New Roman" w:eastAsia="Times New Roman" w:hAnsi="Times New Roman" w:cs="Times New Roman"/>
                <w:sz w:val="24"/>
                <w:szCs w:val="24"/>
              </w:rPr>
              <w:t xml:space="preserve">), as necessidades e as possibilidades da comunidade, que constam do texto, que antecedem os textos constitucionais ou subjazem a eles. A teoria da interpretação tem a tendência de superestimar o significado do texto” (HÄBERLE </w:t>
            </w:r>
            <w:r w:rsidR="00D553C4" w:rsidRPr="00932B1B">
              <w:rPr>
                <w:rFonts w:ascii="Times New Roman" w:eastAsia="Times New Roman" w:hAnsi="Times New Roman" w:cs="Times New Roman"/>
                <w:i/>
                <w:sz w:val="24"/>
                <w:szCs w:val="24"/>
              </w:rPr>
              <w:t xml:space="preserve">apud </w:t>
            </w:r>
            <w:r w:rsidR="00D553C4" w:rsidRPr="00932B1B">
              <w:rPr>
                <w:rFonts w:ascii="Times New Roman" w:eastAsia="Times New Roman" w:hAnsi="Times New Roman" w:cs="Times New Roman"/>
                <w:sz w:val="24"/>
                <w:szCs w:val="24"/>
              </w:rPr>
              <w:t>MENDES, 2004, p. 466).</w:t>
            </w:r>
          </w:p>
          <w:p w14:paraId="25B2F3FA" w14:textId="46C4D051" w:rsidR="00D553C4" w:rsidRPr="00932B1B" w:rsidRDefault="00D553C4"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O ensinamento de Häberle ganha concreto reflexo quando da análise</w:t>
            </w:r>
            <w:r w:rsidR="006E4566" w:rsidRPr="00932B1B">
              <w:rPr>
                <w:rFonts w:ascii="Times New Roman" w:eastAsia="Times New Roman" w:hAnsi="Times New Roman" w:cs="Times New Roman"/>
                <w:sz w:val="24"/>
                <w:szCs w:val="24"/>
              </w:rPr>
              <w:t>, pela Suprema Corte,</w:t>
            </w:r>
            <w:r w:rsidRPr="00932B1B">
              <w:rPr>
                <w:rFonts w:ascii="Times New Roman" w:eastAsia="Times New Roman" w:hAnsi="Times New Roman" w:cs="Times New Roman"/>
                <w:sz w:val="24"/>
                <w:szCs w:val="24"/>
              </w:rPr>
              <w:t xml:space="preserve"> </w:t>
            </w:r>
            <w:r w:rsidR="006E4566" w:rsidRPr="00932B1B">
              <w:rPr>
                <w:rFonts w:ascii="Times New Roman" w:eastAsia="Times New Roman" w:hAnsi="Times New Roman" w:cs="Times New Roman"/>
                <w:sz w:val="24"/>
                <w:szCs w:val="24"/>
              </w:rPr>
              <w:t>da Questão de Ordem suscitada na Ação Penal 937 do Rio de Janeiro.</w:t>
            </w:r>
          </w:p>
          <w:p w14:paraId="077892F7" w14:textId="1E83E9A1" w:rsidR="006E4566" w:rsidRPr="00932B1B" w:rsidRDefault="006E4566"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Apreciando os limites de sua competência nos crimes praticados por aqueles que dispunham do foro por prerrogativa de função, o Supremo Tribunal Federal, reconhecendo que a manutenção de sua competência em todos os casos impedia a devida responsabilização dos autores de crime, com grave prejuízo aos princípios da igualdade e da probidade e moralidade administrativa, modificou sua solidificada jurisprudência, para reconhecer, em suma, que o foro por prerrogativa de função seria aplicável apenas aos crimes cometidos durante o exercício do cargo e relacionado às funções desempenhadas.</w:t>
            </w:r>
          </w:p>
          <w:p w14:paraId="45A68806" w14:textId="32F6357B" w:rsidR="006E4566" w:rsidRPr="00932B1B" w:rsidRDefault="006E4566"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É inegável que tal mudança de postura não derivou somente da espontânea reflexão dos integrantes da Corte Suprema, mas especialmente da atuação de todos os “intérpretes da Constituição aberta”, ao promoverem grandes questionamentos acerca da efetividade da persecução penal dos crimes sujeitos ao foro por prerrogativa de função naquela Corte.</w:t>
            </w:r>
          </w:p>
          <w:p w14:paraId="2A6E8A20" w14:textId="044550C6" w:rsidR="006E4566" w:rsidRPr="00932B1B" w:rsidRDefault="00C51B95"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É nesse espaço de construção aberto da hermenêutica constitucional que o Grupo Nacional dos Direitos Humanos – GNDH, tem o relevante papel de provocar um novo olhar sobre a apreciação das leis que disciplinam a eleição direta de diretores(as) escolares na rede pública de ensino, não apenas para defender sua constitucionalidade, mas especialmente para reconhece-las como um dos elementos de concretização do princípio da gestão democrática do ensino na escola pública.</w:t>
            </w:r>
          </w:p>
          <w:p w14:paraId="723867C3" w14:textId="24E03E6F" w:rsidR="00C51B95" w:rsidRPr="00932B1B" w:rsidRDefault="00170A0C"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Sem prejuízo da polissemia do conceito de democracia, é válida</w:t>
            </w:r>
            <w:r w:rsidR="00057000" w:rsidRPr="00932B1B">
              <w:rPr>
                <w:rFonts w:ascii="Times New Roman" w:eastAsia="Times New Roman" w:hAnsi="Times New Roman" w:cs="Times New Roman"/>
                <w:sz w:val="24"/>
                <w:szCs w:val="24"/>
              </w:rPr>
              <w:t>, a partir de uma perspectiva emancipatória,</w:t>
            </w:r>
            <w:r w:rsidRPr="00932B1B">
              <w:rPr>
                <w:rFonts w:ascii="Times New Roman" w:eastAsia="Times New Roman" w:hAnsi="Times New Roman" w:cs="Times New Roman"/>
                <w:sz w:val="24"/>
                <w:szCs w:val="24"/>
              </w:rPr>
              <w:t xml:space="preserve"> a noção apresenta</w:t>
            </w:r>
            <w:r w:rsidR="00057000" w:rsidRPr="00932B1B">
              <w:rPr>
                <w:rFonts w:ascii="Times New Roman" w:eastAsia="Times New Roman" w:hAnsi="Times New Roman" w:cs="Times New Roman"/>
                <w:sz w:val="24"/>
                <w:szCs w:val="24"/>
              </w:rPr>
              <w:t>da</w:t>
            </w:r>
            <w:r w:rsidRPr="00932B1B">
              <w:rPr>
                <w:rFonts w:ascii="Times New Roman" w:eastAsia="Times New Roman" w:hAnsi="Times New Roman" w:cs="Times New Roman"/>
                <w:sz w:val="24"/>
                <w:szCs w:val="24"/>
              </w:rPr>
              <w:t xml:space="preserve"> por DINIZ e CASTRO (2021, p. 183-184), segundo a qual “a democracia não significa um regime político, e sim uma forma de organização social fundada na legitimidade do conflito, um processo de tornar visíveis os que estão invisíveis, alargando </w:t>
            </w:r>
            <w:r w:rsidRPr="00932B1B">
              <w:rPr>
                <w:rFonts w:ascii="Times New Roman" w:eastAsia="Times New Roman" w:hAnsi="Times New Roman" w:cs="Times New Roman"/>
                <w:i/>
                <w:sz w:val="24"/>
                <w:szCs w:val="24"/>
              </w:rPr>
              <w:t>in continuum</w:t>
            </w:r>
            <w:r w:rsidRPr="00932B1B">
              <w:rPr>
                <w:rFonts w:ascii="Times New Roman" w:eastAsia="Times New Roman" w:hAnsi="Times New Roman" w:cs="Times New Roman"/>
                <w:sz w:val="24"/>
                <w:szCs w:val="24"/>
              </w:rPr>
              <w:t xml:space="preserve"> a esfera pública que se estende a todas as instituições, entre elas, a escola”.</w:t>
            </w:r>
          </w:p>
          <w:p w14:paraId="3810B045" w14:textId="55338406" w:rsidR="00170A0C" w:rsidRPr="00932B1B" w:rsidRDefault="00057000" w:rsidP="006D060E">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É nesse espaço de conflito emancipatório que a educação deve guardar estreita relação instrumental para efetivação dos direitos humanos. Segundo FREIRE</w:t>
            </w:r>
            <w:r w:rsidR="00321B8C" w:rsidRPr="00932B1B">
              <w:rPr>
                <w:rFonts w:ascii="Times New Roman" w:eastAsia="Times New Roman" w:hAnsi="Times New Roman" w:cs="Times New Roman"/>
                <w:sz w:val="24"/>
                <w:szCs w:val="24"/>
              </w:rPr>
              <w:t xml:space="preserve"> (2019, p. 39-40)</w:t>
            </w:r>
            <w:r w:rsidRPr="00932B1B">
              <w:rPr>
                <w:rFonts w:ascii="Times New Roman" w:eastAsia="Times New Roman" w:hAnsi="Times New Roman" w:cs="Times New Roman"/>
                <w:sz w:val="24"/>
                <w:szCs w:val="24"/>
              </w:rPr>
              <w:t xml:space="preserve"> “a educação para os direitos humanos, na perspectiva da justiça, é exatamente aquela educação que desperta os dominados para a necessidade da briga, da organização, da mobilização crítica, justa, democrática, séria, rigorosa, disciplinada, sem manipulações</w:t>
            </w:r>
            <w:r w:rsidR="00321B8C" w:rsidRPr="00932B1B">
              <w:rPr>
                <w:rFonts w:ascii="Times New Roman" w:eastAsia="Times New Roman" w:hAnsi="Times New Roman" w:cs="Times New Roman"/>
                <w:sz w:val="24"/>
                <w:szCs w:val="24"/>
              </w:rPr>
              <w:t>, com vistas à reinvenção do mundo, à reinvenção do poder. A questão colocada não é a de um educador que se insira como estímulo à tomada de poder, mas a da tomada do poder que se prolongue na reinvenção do poder tomado, o que vale dizer que essa educação tem a ver com uma compreensão diferente do desenvolvimento, que implica uma participação, cada vez maior, crescente, crítica, afetiva, dos grupos populares”.</w:t>
            </w:r>
          </w:p>
          <w:p w14:paraId="12F897B9" w14:textId="0E239B54" w:rsidR="00321B8C" w:rsidRPr="00932B1B" w:rsidRDefault="00321B8C" w:rsidP="00321B8C">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Tem-se, assim, que o referencial ético-jurídico da escola pública, enquanto espaço de promoção de direitos humanos, deve sempre buscar a máxima ampliação da participação democrática, que, por princípio, não se afasta a eleição di</w:t>
            </w:r>
            <w:r w:rsidR="004A023C" w:rsidRPr="00932B1B">
              <w:rPr>
                <w:rFonts w:ascii="Times New Roman" w:eastAsia="Times New Roman" w:hAnsi="Times New Roman" w:cs="Times New Roman"/>
                <w:sz w:val="24"/>
                <w:szCs w:val="24"/>
              </w:rPr>
              <w:t>reta de diretores(as) escolares, como o faz a atual jurisprudência do Supremo Tribunal Federal.</w:t>
            </w:r>
          </w:p>
          <w:p w14:paraId="01805DB1" w14:textId="77777777" w:rsidR="004A023C" w:rsidRPr="00932B1B" w:rsidRDefault="00321B8C" w:rsidP="00321B8C">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Para PARO (</w:t>
            </w:r>
            <w:r w:rsidR="004A023C" w:rsidRPr="00932B1B">
              <w:rPr>
                <w:rFonts w:ascii="Times New Roman" w:eastAsia="Times New Roman" w:hAnsi="Times New Roman" w:cs="Times New Roman"/>
                <w:sz w:val="24"/>
                <w:szCs w:val="24"/>
              </w:rPr>
              <w:t>2016, p. 136</w:t>
            </w:r>
            <w:r w:rsidRPr="00932B1B">
              <w:rPr>
                <w:rFonts w:ascii="Times New Roman" w:eastAsia="Times New Roman" w:hAnsi="Times New Roman" w:cs="Times New Roman"/>
                <w:sz w:val="24"/>
                <w:szCs w:val="24"/>
              </w:rPr>
              <w:t>)</w:t>
            </w:r>
            <w:r w:rsidR="004A023C" w:rsidRPr="00932B1B">
              <w:rPr>
                <w:rFonts w:ascii="Times New Roman" w:eastAsia="Times New Roman" w:hAnsi="Times New Roman" w:cs="Times New Roman"/>
                <w:sz w:val="24"/>
                <w:szCs w:val="24"/>
              </w:rPr>
              <w:t xml:space="preserve"> - </w:t>
            </w:r>
            <w:r w:rsidRPr="00932B1B">
              <w:rPr>
                <w:rFonts w:ascii="Times New Roman" w:eastAsia="Times New Roman" w:hAnsi="Times New Roman" w:cs="Times New Roman"/>
                <w:sz w:val="24"/>
                <w:szCs w:val="24"/>
              </w:rPr>
              <w:t xml:space="preserve">sugerindo </w:t>
            </w:r>
            <w:r w:rsidR="004A023C" w:rsidRPr="00932B1B">
              <w:rPr>
                <w:rFonts w:ascii="Times New Roman" w:eastAsia="Times New Roman" w:hAnsi="Times New Roman" w:cs="Times New Roman"/>
                <w:sz w:val="24"/>
                <w:szCs w:val="24"/>
              </w:rPr>
              <w:t>formato plural para estrutura diretiva escolar (Conselho Diretivo) – “os coordenadores escolares seriam recrutados na própria unidade escolar entre os professores (providos pela via do concurso público) e teriam mandatos temporários (dois ou três anos), sendo escolhidos por via eletiva por parte de pessoal escolar, alunos e pais (cf. Paro, 2000, p.109-120). ”</w:t>
            </w:r>
          </w:p>
          <w:p w14:paraId="0E4C9704" w14:textId="77777777" w:rsidR="00DD5BF9" w:rsidRPr="00932B1B" w:rsidRDefault="00DD5BF9" w:rsidP="00321B8C">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lastRenderedPageBreak/>
              <w:t>Esse projeto democrático de uma educação para os direitos humanos, por sua vez, foi corporificado na elaboração do Plano Nacional de Educação 2014-2024, aprovado pela Lei n.º 13.005/2014, que contando com a participação da sociedade civil através das conferências municipais, estaduais e nacional de educação, estabeleceu, em sua meta 19, a garantia da gestão democrática da educação, por meio da nomeação de diretoras e diretores escolares, com a observância de critérios técnicos de mérito e desempenho, bem como da participação da comunidade escolar nessa escolha.</w:t>
            </w:r>
          </w:p>
          <w:p w14:paraId="7DB3BB7D" w14:textId="2242EC12" w:rsidR="00DD5BF9" w:rsidRPr="00932B1B" w:rsidRDefault="00DD5BF9" w:rsidP="00321B8C">
            <w:pPr>
              <w:spacing w:before="120" w:after="120" w:line="276" w:lineRule="auto"/>
              <w:ind w:firstLine="1134"/>
              <w:jc w:val="both"/>
              <w:rPr>
                <w:rFonts w:ascii="Times New Roman" w:eastAsia="Times New Roman" w:hAnsi="Times New Roman" w:cs="Times New Roman"/>
                <w:sz w:val="24"/>
                <w:szCs w:val="24"/>
              </w:rPr>
            </w:pPr>
            <w:r w:rsidRPr="00932B1B">
              <w:rPr>
                <w:rFonts w:ascii="Times New Roman" w:eastAsia="Times New Roman" w:hAnsi="Times New Roman" w:cs="Times New Roman"/>
                <w:sz w:val="24"/>
                <w:szCs w:val="24"/>
              </w:rPr>
              <w:t xml:space="preserve">Observa-se, portanto, que </w:t>
            </w:r>
            <w:r w:rsidR="00A34CC9" w:rsidRPr="00932B1B">
              <w:rPr>
                <w:rFonts w:ascii="Times New Roman" w:eastAsia="Times New Roman" w:hAnsi="Times New Roman" w:cs="Times New Roman"/>
                <w:sz w:val="24"/>
                <w:szCs w:val="24"/>
              </w:rPr>
              <w:t>a promessa constitucional da gestão democrática do ensino público, a partir da aprovação do Plano Nacional de Educação 2014-2024, ganhou novos contornos sociojurídicos, democraticamente construídos, que permitindo a eleição direta para diretores(as) escolares, exige a necessária discussão sobre a revisão do referencial jurisprudencial da Suprema Corte, atualmente em voga.</w:t>
            </w:r>
            <w:r w:rsidRPr="00932B1B">
              <w:rPr>
                <w:rFonts w:ascii="Times New Roman" w:eastAsia="Times New Roman" w:hAnsi="Times New Roman" w:cs="Times New Roman"/>
                <w:sz w:val="24"/>
                <w:szCs w:val="24"/>
              </w:rPr>
              <w:t xml:space="preserve"> </w:t>
            </w:r>
          </w:p>
          <w:p w14:paraId="31C30B8C" w14:textId="2C145C1D" w:rsidR="0069631A" w:rsidRPr="00932B1B" w:rsidRDefault="004A023C" w:rsidP="004907B9">
            <w:pPr>
              <w:spacing w:before="120" w:after="120" w:line="276" w:lineRule="auto"/>
              <w:ind w:firstLine="1134"/>
              <w:jc w:val="both"/>
              <w:rPr>
                <w:rFonts w:ascii="Times New Roman" w:eastAsia="Times New Roman" w:hAnsi="Times New Roman" w:cs="Times New Roman"/>
                <w:color w:val="000000" w:themeColor="text1"/>
                <w:sz w:val="24"/>
                <w:szCs w:val="24"/>
              </w:rPr>
            </w:pPr>
            <w:r w:rsidRPr="00932B1B">
              <w:rPr>
                <w:rFonts w:ascii="Times New Roman" w:eastAsia="Times New Roman" w:hAnsi="Times New Roman" w:cs="Times New Roman"/>
                <w:sz w:val="24"/>
                <w:szCs w:val="24"/>
              </w:rPr>
              <w:t xml:space="preserve"> </w:t>
            </w:r>
            <w:r w:rsidR="00A34CC9" w:rsidRPr="00932B1B">
              <w:rPr>
                <w:rFonts w:ascii="Times New Roman" w:eastAsia="Times New Roman" w:hAnsi="Times New Roman" w:cs="Times New Roman"/>
                <w:color w:val="000000" w:themeColor="text1"/>
                <w:sz w:val="24"/>
                <w:szCs w:val="24"/>
              </w:rPr>
              <w:t xml:space="preserve">Ante o exposto, a </w:t>
            </w:r>
            <w:r w:rsidR="00A34CC9" w:rsidRPr="00932B1B">
              <w:rPr>
                <w:rFonts w:ascii="Times New Roman" w:eastAsia="Times New Roman" w:hAnsi="Times New Roman" w:cs="Times New Roman"/>
                <w:color w:val="000000" w:themeColor="text1"/>
                <w:sz w:val="24"/>
                <w:szCs w:val="24"/>
              </w:rPr>
              <w:t>Comissão Permanente de Educação (COPEDUC)</w:t>
            </w:r>
            <w:r w:rsidR="00A34CC9" w:rsidRPr="00932B1B">
              <w:rPr>
                <w:rFonts w:ascii="Times New Roman" w:eastAsia="Times New Roman" w:hAnsi="Times New Roman" w:cs="Times New Roman"/>
                <w:color w:val="000000" w:themeColor="text1"/>
                <w:sz w:val="24"/>
                <w:szCs w:val="24"/>
              </w:rPr>
              <w:t>, observ</w:t>
            </w:r>
            <w:r w:rsidR="004907B9" w:rsidRPr="00932B1B">
              <w:rPr>
                <w:rFonts w:ascii="Times New Roman" w:eastAsia="Times New Roman" w:hAnsi="Times New Roman" w:cs="Times New Roman"/>
                <w:color w:val="000000" w:themeColor="text1"/>
                <w:sz w:val="24"/>
                <w:szCs w:val="24"/>
              </w:rPr>
              <w:t>adas suas atribuições, bem como a missão institucional do Grupo Nacional de Direitos Humanos de articulação</w:t>
            </w:r>
            <w:r w:rsidR="004907B9" w:rsidRPr="00932B1B">
              <w:rPr>
                <w:rFonts w:ascii="Times New Roman" w:eastAsia="Times New Roman" w:hAnsi="Times New Roman" w:cs="Times New Roman"/>
                <w:color w:val="000000" w:themeColor="text1"/>
                <w:sz w:val="24"/>
                <w:szCs w:val="24"/>
              </w:rPr>
              <w:t>, na perspectiva da universalidade, indiv</w:t>
            </w:r>
            <w:r w:rsidR="004907B9" w:rsidRPr="00932B1B">
              <w:rPr>
                <w:rFonts w:ascii="Times New Roman" w:eastAsia="Times New Roman" w:hAnsi="Times New Roman" w:cs="Times New Roman"/>
                <w:color w:val="000000" w:themeColor="text1"/>
                <w:sz w:val="24"/>
                <w:szCs w:val="24"/>
              </w:rPr>
              <w:t>isibilidade e interdependência, de ações</w:t>
            </w:r>
            <w:r w:rsidR="004907B9" w:rsidRPr="00932B1B">
              <w:rPr>
                <w:rFonts w:ascii="Times New Roman" w:eastAsia="Times New Roman" w:hAnsi="Times New Roman" w:cs="Times New Roman"/>
                <w:color w:val="000000" w:themeColor="text1"/>
                <w:sz w:val="24"/>
                <w:szCs w:val="24"/>
              </w:rPr>
              <w:t xml:space="preserve"> de </w:t>
            </w:r>
            <w:r w:rsidR="004907B9" w:rsidRPr="00932B1B">
              <w:rPr>
                <w:rFonts w:ascii="Times New Roman" w:eastAsia="Times New Roman" w:hAnsi="Times New Roman" w:cs="Times New Roman"/>
                <w:color w:val="000000" w:themeColor="text1"/>
                <w:sz w:val="24"/>
                <w:szCs w:val="24"/>
              </w:rPr>
              <w:t>promoção</w:t>
            </w:r>
            <w:r w:rsidR="004907B9" w:rsidRPr="00932B1B">
              <w:rPr>
                <w:rFonts w:ascii="Times New Roman" w:eastAsia="Times New Roman" w:hAnsi="Times New Roman" w:cs="Times New Roman"/>
                <w:color w:val="000000" w:themeColor="text1"/>
                <w:sz w:val="24"/>
                <w:szCs w:val="24"/>
              </w:rPr>
              <w:t xml:space="preserve">, </w:t>
            </w:r>
            <w:r w:rsidR="004907B9" w:rsidRPr="00932B1B">
              <w:rPr>
                <w:rFonts w:ascii="Times New Roman" w:eastAsia="Times New Roman" w:hAnsi="Times New Roman" w:cs="Times New Roman"/>
                <w:color w:val="000000" w:themeColor="text1"/>
                <w:sz w:val="24"/>
                <w:szCs w:val="24"/>
              </w:rPr>
              <w:t>proteção</w:t>
            </w:r>
            <w:r w:rsidR="004907B9" w:rsidRPr="00932B1B">
              <w:rPr>
                <w:rFonts w:ascii="Times New Roman" w:eastAsia="Times New Roman" w:hAnsi="Times New Roman" w:cs="Times New Roman"/>
                <w:color w:val="000000" w:themeColor="text1"/>
                <w:sz w:val="24"/>
                <w:szCs w:val="24"/>
              </w:rPr>
              <w:t xml:space="preserve"> e defesa dos direitos humanos</w:t>
            </w:r>
            <w:r w:rsidR="004907B9" w:rsidRPr="00932B1B">
              <w:rPr>
                <w:rFonts w:ascii="Times New Roman" w:eastAsia="Times New Roman" w:hAnsi="Times New Roman" w:cs="Times New Roman"/>
                <w:color w:val="000000" w:themeColor="text1"/>
                <w:sz w:val="24"/>
                <w:szCs w:val="24"/>
              </w:rPr>
              <w:t>, sugere a apresentação, para fins de aprovação, da presente Nota Técnica, ao Conselho Nacional de Procuradores-Gerais</w:t>
            </w:r>
            <w:r w:rsidR="0069631A" w:rsidRPr="00932B1B">
              <w:rPr>
                <w:rFonts w:ascii="Times New Roman" w:eastAsia="Times New Roman" w:hAnsi="Times New Roman" w:cs="Times New Roman"/>
                <w:color w:val="000000" w:themeColor="text1"/>
                <w:sz w:val="24"/>
                <w:szCs w:val="24"/>
              </w:rPr>
              <w:t>.</w:t>
            </w:r>
          </w:p>
          <w:p w14:paraId="436A72F1" w14:textId="49E22CF6" w:rsidR="00FD680E" w:rsidRPr="00932B1B" w:rsidRDefault="00975DA0" w:rsidP="0069631A">
            <w:pPr>
              <w:spacing w:after="0" w:line="360" w:lineRule="auto"/>
              <w:jc w:val="both"/>
              <w:rPr>
                <w:rFonts w:ascii="Times New Roman" w:eastAsia="Calibri" w:hAnsi="Times New Roman" w:cs="Times New Roman"/>
                <w:bCs/>
              </w:rPr>
            </w:pPr>
            <w:r w:rsidRPr="00932B1B">
              <w:rPr>
                <w:rFonts w:ascii="Times New Roman" w:eastAsia="Calibri" w:hAnsi="Times New Roman" w:cs="Times New Roman"/>
              </w:rPr>
              <w:t xml:space="preserve">                                </w:t>
            </w:r>
          </w:p>
          <w:p w14:paraId="65C85D6B" w14:textId="05019547" w:rsidR="00FD680E" w:rsidRPr="00932B1B" w:rsidRDefault="00975DA0">
            <w:pPr>
              <w:tabs>
                <w:tab w:val="left" w:pos="2580"/>
                <w:tab w:val="left" w:pos="2820"/>
                <w:tab w:val="center" w:pos="4535"/>
              </w:tabs>
              <w:spacing w:after="0" w:line="240" w:lineRule="auto"/>
              <w:rPr>
                <w:rFonts w:ascii="Times New Roman" w:eastAsia="Calibri" w:hAnsi="Times New Roman" w:cs="Times New Roman"/>
              </w:rPr>
            </w:pPr>
            <w:r w:rsidRPr="00932B1B">
              <w:rPr>
                <w:rFonts w:ascii="Times New Roman" w:eastAsia="Calibri" w:hAnsi="Times New Roman" w:cs="Times New Roman"/>
                <w:bCs/>
              </w:rPr>
              <w:tab/>
            </w:r>
            <w:r w:rsidRPr="00932B1B">
              <w:rPr>
                <w:rFonts w:ascii="Times New Roman" w:eastAsia="Calibri" w:hAnsi="Times New Roman" w:cs="Times New Roman"/>
                <w:bCs/>
              </w:rPr>
              <w:tab/>
            </w:r>
            <w:r w:rsidRPr="00932B1B">
              <w:rPr>
                <w:rFonts w:ascii="Times New Roman" w:eastAsia="Calibri" w:hAnsi="Times New Roman" w:cs="Times New Roman"/>
                <w:bCs/>
              </w:rPr>
              <w:tab/>
            </w:r>
            <w:r w:rsidR="004907B9" w:rsidRPr="00932B1B">
              <w:rPr>
                <w:rFonts w:ascii="Times New Roman" w:eastAsia="Calibri" w:hAnsi="Times New Roman" w:cs="Times New Roman"/>
                <w:bCs/>
              </w:rPr>
              <w:t>Brasília</w:t>
            </w:r>
            <w:r w:rsidRPr="00932B1B">
              <w:rPr>
                <w:rFonts w:ascii="Times New Roman" w:eastAsia="Calibri" w:hAnsi="Times New Roman" w:cs="Times New Roman"/>
                <w:bCs/>
              </w:rPr>
              <w:t xml:space="preserve">, </w:t>
            </w:r>
            <w:r w:rsidR="0069631A" w:rsidRPr="00932B1B">
              <w:rPr>
                <w:rFonts w:ascii="Times New Roman" w:eastAsia="Calibri" w:hAnsi="Times New Roman" w:cs="Times New Roman"/>
                <w:bCs/>
              </w:rPr>
              <w:t>26</w:t>
            </w:r>
            <w:r w:rsidR="004907B9" w:rsidRPr="00932B1B">
              <w:rPr>
                <w:rFonts w:ascii="Times New Roman" w:eastAsia="Calibri" w:hAnsi="Times New Roman" w:cs="Times New Roman"/>
                <w:bCs/>
              </w:rPr>
              <w:t xml:space="preserve"> de outubro</w:t>
            </w:r>
            <w:r w:rsidRPr="00932B1B">
              <w:rPr>
                <w:rFonts w:ascii="Times New Roman" w:eastAsia="Calibri" w:hAnsi="Times New Roman" w:cs="Times New Roman"/>
                <w:bCs/>
              </w:rPr>
              <w:t xml:space="preserve"> de 2022</w:t>
            </w:r>
            <w:r w:rsidRPr="00932B1B">
              <w:rPr>
                <w:rFonts w:ascii="Times New Roman" w:eastAsia="Calibri" w:hAnsi="Times New Roman" w:cs="Times New Roman"/>
              </w:rPr>
              <w:t>.</w:t>
            </w:r>
          </w:p>
          <w:p w14:paraId="28C869A9" w14:textId="77777777" w:rsidR="004907B9" w:rsidRPr="00932B1B" w:rsidRDefault="004907B9">
            <w:pPr>
              <w:tabs>
                <w:tab w:val="left" w:pos="2580"/>
                <w:tab w:val="left" w:pos="2820"/>
                <w:tab w:val="center" w:pos="4535"/>
              </w:tabs>
              <w:spacing w:after="0" w:line="240" w:lineRule="auto"/>
              <w:rPr>
                <w:rFonts w:ascii="Times New Roman" w:eastAsia="Calibri" w:hAnsi="Times New Roman" w:cs="Times New Roman"/>
              </w:rPr>
            </w:pPr>
          </w:p>
          <w:p w14:paraId="2B8A39F5" w14:textId="2AFE3527" w:rsidR="004907B9" w:rsidRPr="00932B1B" w:rsidRDefault="004907B9">
            <w:pPr>
              <w:tabs>
                <w:tab w:val="left" w:pos="2580"/>
                <w:tab w:val="left" w:pos="2820"/>
                <w:tab w:val="center" w:pos="4535"/>
              </w:tabs>
              <w:spacing w:after="0" w:line="240" w:lineRule="auto"/>
              <w:rPr>
                <w:rFonts w:ascii="Times New Roman" w:eastAsia="Calibri" w:hAnsi="Times New Roman" w:cs="Times New Roman"/>
                <w:b/>
              </w:rPr>
            </w:pPr>
            <w:r w:rsidRPr="00932B1B">
              <w:rPr>
                <w:rFonts w:ascii="Times New Roman" w:eastAsia="Calibri" w:hAnsi="Times New Roman" w:cs="Times New Roman"/>
                <w:b/>
              </w:rPr>
              <w:t>REFERÊNCIAS:</w:t>
            </w:r>
          </w:p>
          <w:p w14:paraId="7549E1FF" w14:textId="77777777" w:rsidR="004907B9" w:rsidRPr="00932B1B" w:rsidRDefault="004907B9">
            <w:pPr>
              <w:tabs>
                <w:tab w:val="left" w:pos="2580"/>
                <w:tab w:val="left" w:pos="2820"/>
                <w:tab w:val="center" w:pos="4535"/>
              </w:tabs>
              <w:spacing w:after="0" w:line="240" w:lineRule="auto"/>
              <w:rPr>
                <w:rFonts w:ascii="Times New Roman" w:eastAsia="Calibri" w:hAnsi="Times New Roman" w:cs="Times New Roman"/>
                <w:b/>
              </w:rPr>
            </w:pPr>
          </w:p>
          <w:p w14:paraId="725B5FA8" w14:textId="77777777" w:rsidR="00932B1B" w:rsidRPr="00932B1B" w:rsidRDefault="00932B1B" w:rsidP="009334BB">
            <w:pPr>
              <w:pStyle w:val="PargrafodaLista"/>
              <w:numPr>
                <w:ilvl w:val="0"/>
                <w:numId w:val="2"/>
              </w:numPr>
              <w:tabs>
                <w:tab w:val="left" w:pos="2580"/>
                <w:tab w:val="left" w:pos="2820"/>
                <w:tab w:val="center" w:pos="4535"/>
              </w:tabs>
              <w:rPr>
                <w:rFonts w:ascii="Times New Roman" w:hAnsi="Times New Roman"/>
                <w:b/>
              </w:rPr>
            </w:pPr>
            <w:r w:rsidRPr="00932B1B">
              <w:rPr>
                <w:rFonts w:ascii="Times New Roman" w:hAnsi="Times New Roman"/>
                <w:sz w:val="24"/>
              </w:rPr>
              <w:t>DINIZ, Bárbara Silva; CASTRO, Vanessa Maria de. O cotidiano da sala de aula: uma busca por direitos humanos ao diálogo. In: CASTRO, Vanessa Maria de; COSTA, Cléria Botelho da; SOUSA, Nair Heloísa Bicalho de; COSTA, Alexandre Bernardino. Direitos Humanos: diversos olhares. Brasília: Editora Universidade de Brasília, 2021.</w:t>
            </w:r>
          </w:p>
          <w:p w14:paraId="367199E8" w14:textId="77777777" w:rsidR="00932B1B" w:rsidRPr="00932B1B" w:rsidRDefault="00932B1B" w:rsidP="004907B9">
            <w:pPr>
              <w:pStyle w:val="PargrafodaLista"/>
              <w:numPr>
                <w:ilvl w:val="0"/>
                <w:numId w:val="2"/>
              </w:numPr>
              <w:tabs>
                <w:tab w:val="left" w:pos="2580"/>
                <w:tab w:val="left" w:pos="2820"/>
                <w:tab w:val="center" w:pos="4535"/>
              </w:tabs>
              <w:rPr>
                <w:rFonts w:ascii="Times New Roman" w:hAnsi="Times New Roman"/>
                <w:b/>
              </w:rPr>
            </w:pPr>
            <w:r w:rsidRPr="00932B1B">
              <w:rPr>
                <w:rFonts w:ascii="Times New Roman" w:hAnsi="Times New Roman"/>
                <w:sz w:val="24"/>
              </w:rPr>
              <w:t>ESCRIVÃO FILHO, Antonio; SOUSA JÚNIOR, José Geraldo. Para um debate teórico-conceitual e político sobre os direitos humanos. Belo Horizonte: Editora D’Plácido, 2020.</w:t>
            </w:r>
          </w:p>
          <w:p w14:paraId="3F2A2615" w14:textId="77777777" w:rsidR="00932B1B" w:rsidRPr="00932B1B" w:rsidRDefault="00932B1B" w:rsidP="009334BB">
            <w:pPr>
              <w:pStyle w:val="PargrafodaLista"/>
              <w:numPr>
                <w:ilvl w:val="0"/>
                <w:numId w:val="2"/>
              </w:numPr>
              <w:tabs>
                <w:tab w:val="left" w:pos="2580"/>
                <w:tab w:val="left" w:pos="2820"/>
                <w:tab w:val="center" w:pos="4535"/>
              </w:tabs>
              <w:rPr>
                <w:rFonts w:ascii="Times New Roman" w:hAnsi="Times New Roman"/>
                <w:b/>
              </w:rPr>
            </w:pPr>
            <w:r w:rsidRPr="00932B1B">
              <w:rPr>
                <w:rFonts w:ascii="Times New Roman" w:hAnsi="Times New Roman"/>
                <w:sz w:val="24"/>
              </w:rPr>
              <w:t>FREIRE, Paulo; FREIRE, Ana Maria Araújo; MENDONÇA, Erasto Fortes (organização e notas). Diretos humanos e educação libertadora: gestão democrática da educação na cidade de São Paulo. 1ª edição. Rio de Janeiro/São Paulo: Paz e Terra, 2019.</w:t>
            </w:r>
          </w:p>
          <w:p w14:paraId="4F03D470" w14:textId="77777777" w:rsidR="00932B1B" w:rsidRPr="00932B1B" w:rsidRDefault="00932B1B" w:rsidP="004907B9">
            <w:pPr>
              <w:pStyle w:val="PargrafodaLista"/>
              <w:numPr>
                <w:ilvl w:val="0"/>
                <w:numId w:val="2"/>
              </w:numPr>
              <w:tabs>
                <w:tab w:val="left" w:pos="2580"/>
                <w:tab w:val="left" w:pos="2820"/>
                <w:tab w:val="center" w:pos="4535"/>
              </w:tabs>
              <w:rPr>
                <w:rFonts w:ascii="Times New Roman" w:hAnsi="Times New Roman"/>
                <w:b/>
              </w:rPr>
            </w:pPr>
            <w:r w:rsidRPr="00932B1B">
              <w:rPr>
                <w:rFonts w:ascii="Times New Roman" w:hAnsi="Times New Roman"/>
                <w:sz w:val="24"/>
              </w:rPr>
              <w:t>LYRA FILHO, Roberto. O que é direito? 1ª edição ebook. São Paulo: Editora Brasiliense, 2017.</w:t>
            </w:r>
          </w:p>
          <w:p w14:paraId="60F99A3D" w14:textId="77777777" w:rsidR="00932B1B" w:rsidRPr="00932B1B" w:rsidRDefault="00932B1B" w:rsidP="009334BB">
            <w:pPr>
              <w:pStyle w:val="PargrafodaLista"/>
              <w:numPr>
                <w:ilvl w:val="0"/>
                <w:numId w:val="2"/>
              </w:numPr>
              <w:tabs>
                <w:tab w:val="left" w:pos="2580"/>
                <w:tab w:val="left" w:pos="2820"/>
                <w:tab w:val="center" w:pos="4535"/>
              </w:tabs>
              <w:rPr>
                <w:rFonts w:ascii="Times New Roman" w:hAnsi="Times New Roman"/>
                <w:b/>
              </w:rPr>
            </w:pPr>
            <w:r w:rsidRPr="00932B1B">
              <w:rPr>
                <w:rFonts w:ascii="Times New Roman" w:hAnsi="Times New Roman"/>
                <w:sz w:val="24"/>
              </w:rPr>
              <w:t>MENDES, Gilmar Ferreira. Direitos fundamentais e controle de constitucionalidade: estudos de direito constitucional. 3ª edição. São Paulo: Editora Saraiva, 2004.</w:t>
            </w:r>
          </w:p>
          <w:p w14:paraId="629EEFEC" w14:textId="77777777" w:rsidR="00932B1B" w:rsidRPr="009334BB" w:rsidRDefault="00932B1B" w:rsidP="009334BB">
            <w:pPr>
              <w:pStyle w:val="PargrafodaLista"/>
              <w:numPr>
                <w:ilvl w:val="0"/>
                <w:numId w:val="2"/>
              </w:numPr>
              <w:tabs>
                <w:tab w:val="left" w:pos="2580"/>
                <w:tab w:val="left" w:pos="2820"/>
                <w:tab w:val="center" w:pos="4535"/>
              </w:tabs>
              <w:rPr>
                <w:rFonts w:cstheme="minorHAnsi"/>
                <w:b/>
              </w:rPr>
            </w:pPr>
            <w:r w:rsidRPr="00932B1B">
              <w:rPr>
                <w:rFonts w:ascii="Times New Roman" w:hAnsi="Times New Roman"/>
                <w:sz w:val="24"/>
              </w:rPr>
              <w:t>PARO, Vitor Henrique. Gestão democrática da escola pública. 4ª edição. São Paulo: Editora Cortez, 2016.</w:t>
            </w:r>
          </w:p>
          <w:p w14:paraId="52B4B1DA" w14:textId="77777777" w:rsidR="00FD680E" w:rsidRPr="00886473" w:rsidRDefault="00FD680E">
            <w:pPr>
              <w:spacing w:after="0" w:line="240" w:lineRule="auto"/>
              <w:rPr>
                <w:rFonts w:cstheme="minorHAnsi"/>
                <w:b/>
                <w:bCs/>
              </w:rPr>
            </w:pPr>
          </w:p>
          <w:p w14:paraId="7917EC2E" w14:textId="77777777" w:rsidR="00FD680E" w:rsidRPr="00886473" w:rsidRDefault="00FD680E">
            <w:pPr>
              <w:spacing w:after="0" w:line="240" w:lineRule="auto"/>
              <w:jc w:val="center"/>
              <w:rPr>
                <w:rFonts w:cstheme="minorHAnsi"/>
                <w:b/>
              </w:rPr>
            </w:pPr>
          </w:p>
        </w:tc>
      </w:tr>
      <w:tr w:rsidR="00886473" w:rsidRPr="00886473" w14:paraId="58329469" w14:textId="77777777">
        <w:trPr>
          <w:trHeight w:val="557"/>
          <w:jc w:val="center"/>
        </w:trPr>
        <w:tc>
          <w:tcPr>
            <w:tcW w:w="10466" w:type="dxa"/>
            <w:gridSpan w:val="3"/>
            <w:shd w:val="clear" w:color="auto" w:fill="B4C6E7" w:themeFill="accent1" w:themeFillTint="66"/>
            <w:vAlign w:val="center"/>
          </w:tcPr>
          <w:p w14:paraId="374E76DC" w14:textId="77777777" w:rsidR="00FD680E" w:rsidRPr="00886473" w:rsidRDefault="00975DA0">
            <w:pPr>
              <w:spacing w:after="0" w:line="240" w:lineRule="auto"/>
              <w:jc w:val="center"/>
              <w:rPr>
                <w:rFonts w:cstheme="minorHAnsi"/>
                <w:b/>
              </w:rPr>
            </w:pPr>
            <w:r w:rsidRPr="00886473">
              <w:rPr>
                <w:rFonts w:eastAsia="Calibri" w:cstheme="minorHAnsi"/>
                <w:b/>
              </w:rPr>
              <w:lastRenderedPageBreak/>
              <w:t xml:space="preserve">ATA DA REUNIÃO </w:t>
            </w:r>
          </w:p>
        </w:tc>
      </w:tr>
      <w:tr w:rsidR="00886473" w:rsidRPr="00886473" w14:paraId="387B89E3" w14:textId="77777777">
        <w:trPr>
          <w:trHeight w:val="557"/>
          <w:jc w:val="center"/>
        </w:trPr>
        <w:tc>
          <w:tcPr>
            <w:tcW w:w="10466" w:type="dxa"/>
            <w:gridSpan w:val="3"/>
            <w:shd w:val="clear" w:color="auto" w:fill="auto"/>
            <w:vAlign w:val="center"/>
          </w:tcPr>
          <w:p w14:paraId="27746CB8" w14:textId="77777777" w:rsidR="00FD680E" w:rsidRPr="00886473" w:rsidRDefault="00975DA0">
            <w:pPr>
              <w:spacing w:after="0" w:line="240" w:lineRule="auto"/>
              <w:jc w:val="center"/>
              <w:rPr>
                <w:rFonts w:cstheme="minorHAnsi"/>
                <w:b/>
              </w:rPr>
            </w:pPr>
            <w:r w:rsidRPr="00886473">
              <w:rPr>
                <w:rFonts w:eastAsia="Calibri" w:cstheme="minorHAnsi"/>
                <w:b/>
              </w:rPr>
              <w:t xml:space="preserve">Observar caput do art. 11 do Regimento Interno do Grupo Nacional de Direitos Humanos - inserir texto ou link do arquivo  </w:t>
            </w:r>
          </w:p>
        </w:tc>
      </w:tr>
      <w:tr w:rsidR="00FD680E" w:rsidRPr="00886473" w14:paraId="6B46E7E2" w14:textId="77777777">
        <w:trPr>
          <w:trHeight w:val="557"/>
          <w:jc w:val="center"/>
        </w:trPr>
        <w:tc>
          <w:tcPr>
            <w:tcW w:w="10466" w:type="dxa"/>
            <w:gridSpan w:val="3"/>
            <w:shd w:val="clear" w:color="auto" w:fill="auto"/>
            <w:vAlign w:val="center"/>
          </w:tcPr>
          <w:p w14:paraId="7665A865" w14:textId="77777777" w:rsidR="00FD680E" w:rsidRPr="00886473" w:rsidRDefault="00FD680E">
            <w:pPr>
              <w:spacing w:after="0" w:line="240" w:lineRule="auto"/>
              <w:jc w:val="center"/>
              <w:rPr>
                <w:rFonts w:cstheme="minorHAnsi"/>
                <w:b/>
              </w:rPr>
            </w:pPr>
          </w:p>
          <w:p w14:paraId="24EA7CED" w14:textId="77777777" w:rsidR="0069631A" w:rsidRDefault="0069631A" w:rsidP="0069631A">
            <w:pPr>
              <w:spacing w:after="0" w:line="240" w:lineRule="auto"/>
              <w:jc w:val="center"/>
              <w:rPr>
                <w:rFonts w:eastAsia="Calibri" w:cstheme="minorHAnsi"/>
              </w:rPr>
            </w:pPr>
            <w:r w:rsidRPr="00886473">
              <w:rPr>
                <w:rFonts w:eastAsia="Calibri" w:cstheme="minorHAnsi"/>
              </w:rPr>
              <w:t>Na</w:t>
            </w:r>
            <w:r>
              <w:rPr>
                <w:rFonts w:eastAsia="Calibri" w:cstheme="minorHAnsi"/>
              </w:rPr>
              <w:t xml:space="preserve"> COPEIJ votaram a favor da nota os MPS: </w:t>
            </w:r>
            <w:r w:rsidRPr="0069631A">
              <w:rPr>
                <w:rFonts w:eastAsia="Calibri" w:cstheme="minorHAnsi"/>
              </w:rPr>
              <w:t>1. MPSC</w:t>
            </w:r>
            <w:r>
              <w:rPr>
                <w:rFonts w:eastAsia="Calibri" w:cstheme="minorHAnsi"/>
              </w:rPr>
              <w:t xml:space="preserve">, </w:t>
            </w:r>
            <w:r w:rsidRPr="0069631A">
              <w:rPr>
                <w:rFonts w:eastAsia="Calibri" w:cstheme="minorHAnsi"/>
              </w:rPr>
              <w:t>2. MPMG</w:t>
            </w:r>
            <w:r>
              <w:rPr>
                <w:rFonts w:eastAsia="Calibri" w:cstheme="minorHAnsi"/>
              </w:rPr>
              <w:t xml:space="preserve">, </w:t>
            </w:r>
            <w:r w:rsidRPr="0069631A">
              <w:rPr>
                <w:rFonts w:eastAsia="Calibri" w:cstheme="minorHAnsi"/>
              </w:rPr>
              <w:t>3. MPBA</w:t>
            </w:r>
            <w:r>
              <w:rPr>
                <w:rFonts w:eastAsia="Calibri" w:cstheme="minorHAnsi"/>
              </w:rPr>
              <w:t xml:space="preserve">, </w:t>
            </w:r>
            <w:r w:rsidRPr="0069631A">
              <w:rPr>
                <w:rFonts w:eastAsia="Calibri" w:cstheme="minorHAnsi"/>
              </w:rPr>
              <w:t>4. MPTO</w:t>
            </w:r>
            <w:r>
              <w:rPr>
                <w:rFonts w:eastAsia="Calibri" w:cstheme="minorHAnsi"/>
              </w:rPr>
              <w:t xml:space="preserve">, </w:t>
            </w:r>
            <w:r w:rsidRPr="0069631A">
              <w:rPr>
                <w:rFonts w:eastAsia="Calibri" w:cstheme="minorHAnsi"/>
              </w:rPr>
              <w:t>5. MPSP</w:t>
            </w:r>
            <w:r>
              <w:rPr>
                <w:rFonts w:eastAsia="Calibri" w:cstheme="minorHAnsi"/>
              </w:rPr>
              <w:t xml:space="preserve">, </w:t>
            </w:r>
            <w:r w:rsidRPr="0069631A">
              <w:rPr>
                <w:rFonts w:eastAsia="Calibri" w:cstheme="minorHAnsi"/>
              </w:rPr>
              <w:t>6. MPMA</w:t>
            </w:r>
            <w:r>
              <w:rPr>
                <w:rFonts w:eastAsia="Calibri" w:cstheme="minorHAnsi"/>
              </w:rPr>
              <w:t xml:space="preserve">, </w:t>
            </w:r>
            <w:r w:rsidRPr="0069631A">
              <w:rPr>
                <w:rFonts w:eastAsia="Calibri" w:cstheme="minorHAnsi"/>
              </w:rPr>
              <w:t>7. MPES</w:t>
            </w:r>
            <w:r>
              <w:rPr>
                <w:rFonts w:eastAsia="Calibri" w:cstheme="minorHAnsi"/>
              </w:rPr>
              <w:t xml:space="preserve">, </w:t>
            </w:r>
            <w:r w:rsidRPr="0069631A">
              <w:rPr>
                <w:rFonts w:eastAsia="Calibri" w:cstheme="minorHAnsi"/>
              </w:rPr>
              <w:t>8. MPDFT</w:t>
            </w:r>
            <w:r>
              <w:rPr>
                <w:rFonts w:eastAsia="Calibri" w:cstheme="minorHAnsi"/>
              </w:rPr>
              <w:t xml:space="preserve">, </w:t>
            </w:r>
            <w:r w:rsidRPr="0069631A">
              <w:rPr>
                <w:rFonts w:eastAsia="Calibri" w:cstheme="minorHAnsi"/>
              </w:rPr>
              <w:t>9. PROINFÂNCIA</w:t>
            </w:r>
            <w:r>
              <w:rPr>
                <w:rFonts w:eastAsia="Calibri" w:cstheme="minorHAnsi"/>
              </w:rPr>
              <w:t xml:space="preserve">, </w:t>
            </w:r>
            <w:r w:rsidRPr="0069631A">
              <w:rPr>
                <w:rFonts w:eastAsia="Calibri" w:cstheme="minorHAnsi"/>
              </w:rPr>
              <w:t>10. MPMT</w:t>
            </w:r>
            <w:r>
              <w:rPr>
                <w:rFonts w:eastAsia="Calibri" w:cstheme="minorHAnsi"/>
              </w:rPr>
              <w:t xml:space="preserve">, </w:t>
            </w:r>
            <w:r w:rsidRPr="0069631A">
              <w:rPr>
                <w:rFonts w:eastAsia="Calibri" w:cstheme="minorHAnsi"/>
              </w:rPr>
              <w:t>11. MPRO</w:t>
            </w:r>
            <w:r>
              <w:rPr>
                <w:rFonts w:eastAsia="Calibri" w:cstheme="minorHAnsi"/>
              </w:rPr>
              <w:t xml:space="preserve">, </w:t>
            </w:r>
            <w:r w:rsidRPr="0069631A">
              <w:rPr>
                <w:rFonts w:eastAsia="Calibri" w:cstheme="minorHAnsi"/>
              </w:rPr>
              <w:t>12. MPPI</w:t>
            </w:r>
            <w:r>
              <w:rPr>
                <w:rFonts w:eastAsia="Calibri" w:cstheme="minorHAnsi"/>
              </w:rPr>
              <w:t>,</w:t>
            </w:r>
            <w:r w:rsidRPr="0069631A">
              <w:rPr>
                <w:rFonts w:eastAsia="Calibri" w:cstheme="minorHAnsi"/>
              </w:rPr>
              <w:t>13. MPRN</w:t>
            </w:r>
            <w:r>
              <w:rPr>
                <w:rFonts w:eastAsia="Calibri" w:cstheme="minorHAnsi"/>
              </w:rPr>
              <w:t xml:space="preserve">, </w:t>
            </w:r>
            <w:r w:rsidRPr="0069631A">
              <w:rPr>
                <w:rFonts w:eastAsia="Calibri" w:cstheme="minorHAnsi"/>
              </w:rPr>
              <w:t>14. MPT</w:t>
            </w:r>
            <w:r>
              <w:rPr>
                <w:rFonts w:eastAsia="Calibri" w:cstheme="minorHAnsi"/>
              </w:rPr>
              <w:t xml:space="preserve">, </w:t>
            </w:r>
            <w:r w:rsidRPr="0069631A">
              <w:rPr>
                <w:rFonts w:eastAsia="Calibri" w:cstheme="minorHAnsi"/>
              </w:rPr>
              <w:t>15. MPRS</w:t>
            </w:r>
            <w:r>
              <w:rPr>
                <w:rFonts w:eastAsia="Calibri" w:cstheme="minorHAnsi"/>
              </w:rPr>
              <w:t xml:space="preserve">, </w:t>
            </w:r>
            <w:r w:rsidRPr="0069631A">
              <w:rPr>
                <w:rFonts w:eastAsia="Calibri" w:cstheme="minorHAnsi"/>
              </w:rPr>
              <w:t>16. MPAM</w:t>
            </w:r>
            <w:r>
              <w:rPr>
                <w:rFonts w:eastAsia="Calibri" w:cstheme="minorHAnsi"/>
              </w:rPr>
              <w:t xml:space="preserve">, </w:t>
            </w:r>
            <w:r w:rsidRPr="0069631A">
              <w:rPr>
                <w:rFonts w:eastAsia="Calibri" w:cstheme="minorHAnsi"/>
              </w:rPr>
              <w:t>17. MPPE</w:t>
            </w:r>
            <w:r>
              <w:rPr>
                <w:rFonts w:eastAsia="Calibri" w:cstheme="minorHAnsi"/>
              </w:rPr>
              <w:t xml:space="preserve">, </w:t>
            </w:r>
            <w:r w:rsidRPr="0069631A">
              <w:rPr>
                <w:rFonts w:eastAsia="Calibri" w:cstheme="minorHAnsi"/>
              </w:rPr>
              <w:t xml:space="preserve">18. MPAL </w:t>
            </w:r>
            <w:r>
              <w:rPr>
                <w:rFonts w:eastAsia="Calibri" w:cstheme="minorHAnsi"/>
              </w:rPr>
              <w:t xml:space="preserve">, </w:t>
            </w:r>
            <w:r w:rsidRPr="0069631A">
              <w:rPr>
                <w:rFonts w:eastAsia="Calibri" w:cstheme="minorHAnsi"/>
              </w:rPr>
              <w:t>19. MPPB</w:t>
            </w:r>
            <w:r>
              <w:rPr>
                <w:rFonts w:eastAsia="Calibri" w:cstheme="minorHAnsi"/>
              </w:rPr>
              <w:t xml:space="preserve">, </w:t>
            </w:r>
            <w:r w:rsidRPr="0069631A">
              <w:rPr>
                <w:rFonts w:eastAsia="Calibri" w:cstheme="minorHAnsi"/>
              </w:rPr>
              <w:t>20. MPGO</w:t>
            </w:r>
            <w:r>
              <w:rPr>
                <w:rFonts w:eastAsia="Calibri" w:cstheme="minorHAnsi"/>
              </w:rPr>
              <w:t xml:space="preserve"> e </w:t>
            </w:r>
            <w:r w:rsidRPr="0069631A">
              <w:rPr>
                <w:rFonts w:eastAsia="Calibri" w:cstheme="minorHAnsi"/>
              </w:rPr>
              <w:t>21. MPRJ</w:t>
            </w:r>
          </w:p>
          <w:p w14:paraId="52C75E66" w14:textId="4A4717A0" w:rsidR="0069631A" w:rsidRPr="00FD5792" w:rsidRDefault="006277FE" w:rsidP="0069631A">
            <w:pPr>
              <w:spacing w:after="0" w:line="240" w:lineRule="auto"/>
              <w:jc w:val="center"/>
              <w:rPr>
                <w:rFonts w:eastAsia="Calibri" w:cstheme="minorHAnsi"/>
                <w:bCs/>
              </w:rPr>
            </w:pPr>
            <w:r>
              <w:rPr>
                <w:rFonts w:eastAsia="Calibri" w:cstheme="minorHAnsi"/>
              </w:rPr>
              <w:t>Na</w:t>
            </w:r>
            <w:r w:rsidR="0069631A" w:rsidRPr="00886473">
              <w:rPr>
                <w:rFonts w:eastAsia="Calibri" w:cstheme="minorHAnsi"/>
              </w:rPr>
              <w:t xml:space="preserve"> COPEDUC votaram a favor da Nota os MPs: </w:t>
            </w:r>
            <w:r w:rsidR="0069631A" w:rsidRPr="00FD5792">
              <w:rPr>
                <w:rFonts w:eastAsia="Calibri" w:cstheme="minorHAnsi"/>
                <w:bCs/>
              </w:rPr>
              <w:t>1- MPAL</w:t>
            </w:r>
            <w:r w:rsidR="0069631A">
              <w:rPr>
                <w:rFonts w:eastAsia="Calibri" w:cstheme="minorHAnsi"/>
                <w:bCs/>
              </w:rPr>
              <w:t xml:space="preserve">, </w:t>
            </w:r>
            <w:r w:rsidR="0069631A" w:rsidRPr="00FD5792">
              <w:rPr>
                <w:rFonts w:eastAsia="Calibri" w:cstheme="minorHAnsi"/>
                <w:bCs/>
              </w:rPr>
              <w:t>2- MPTO</w:t>
            </w:r>
            <w:r w:rsidR="0069631A">
              <w:rPr>
                <w:rFonts w:eastAsia="Calibri" w:cstheme="minorHAnsi"/>
                <w:bCs/>
              </w:rPr>
              <w:t xml:space="preserve">, </w:t>
            </w:r>
            <w:r w:rsidR="0069631A" w:rsidRPr="00FD5792">
              <w:rPr>
                <w:rFonts w:eastAsia="Calibri" w:cstheme="minorHAnsi"/>
                <w:bCs/>
              </w:rPr>
              <w:t>3. MPSP</w:t>
            </w:r>
            <w:r w:rsidR="0069631A">
              <w:rPr>
                <w:rFonts w:eastAsia="Calibri" w:cstheme="minorHAnsi"/>
                <w:bCs/>
              </w:rPr>
              <w:t xml:space="preserve">, </w:t>
            </w:r>
            <w:r w:rsidR="0069631A" w:rsidRPr="00FD5792">
              <w:rPr>
                <w:rFonts w:eastAsia="Calibri" w:cstheme="minorHAnsi"/>
                <w:bCs/>
              </w:rPr>
              <w:t>4.MPGO</w:t>
            </w:r>
            <w:r w:rsidR="0069631A">
              <w:rPr>
                <w:rFonts w:eastAsia="Calibri" w:cstheme="minorHAnsi"/>
                <w:bCs/>
              </w:rPr>
              <w:t xml:space="preserve">, </w:t>
            </w:r>
            <w:r w:rsidR="0069631A" w:rsidRPr="00FD5792">
              <w:rPr>
                <w:rFonts w:eastAsia="Calibri" w:cstheme="minorHAnsi"/>
                <w:bCs/>
              </w:rPr>
              <w:t>5. MPAM</w:t>
            </w:r>
            <w:r w:rsidR="0069631A">
              <w:rPr>
                <w:rFonts w:eastAsia="Calibri" w:cstheme="minorHAnsi"/>
                <w:bCs/>
              </w:rPr>
              <w:t xml:space="preserve">, </w:t>
            </w:r>
            <w:r w:rsidR="0069631A" w:rsidRPr="00FD5792">
              <w:rPr>
                <w:rFonts w:eastAsia="Calibri" w:cstheme="minorHAnsi"/>
                <w:bCs/>
              </w:rPr>
              <w:t>6.MPBA</w:t>
            </w:r>
            <w:r w:rsidR="0069631A">
              <w:rPr>
                <w:rFonts w:eastAsia="Calibri" w:cstheme="minorHAnsi"/>
                <w:bCs/>
              </w:rPr>
              <w:t>,</w:t>
            </w:r>
            <w:r w:rsidR="0069631A" w:rsidRPr="00FD5792">
              <w:rPr>
                <w:rFonts w:eastAsia="Calibri" w:cstheme="minorHAnsi"/>
                <w:bCs/>
              </w:rPr>
              <w:t xml:space="preserve"> 7.MPPE</w:t>
            </w:r>
            <w:r w:rsidR="0069631A">
              <w:rPr>
                <w:rFonts w:eastAsia="Calibri" w:cstheme="minorHAnsi"/>
                <w:bCs/>
              </w:rPr>
              <w:t xml:space="preserve">, </w:t>
            </w:r>
            <w:r w:rsidR="0069631A" w:rsidRPr="00FD5792">
              <w:rPr>
                <w:rFonts w:eastAsia="Calibri" w:cstheme="minorHAnsi"/>
                <w:bCs/>
              </w:rPr>
              <w:t>8.MPRS</w:t>
            </w:r>
            <w:r w:rsidR="0069631A">
              <w:rPr>
                <w:rFonts w:eastAsia="Calibri" w:cstheme="minorHAnsi"/>
                <w:bCs/>
              </w:rPr>
              <w:t xml:space="preserve">, </w:t>
            </w:r>
            <w:r w:rsidR="0069631A" w:rsidRPr="00FD5792">
              <w:rPr>
                <w:rFonts w:eastAsia="Calibri" w:cstheme="minorHAnsi"/>
                <w:bCs/>
              </w:rPr>
              <w:t xml:space="preserve">  9. MPDFT</w:t>
            </w:r>
            <w:r w:rsidR="0069631A">
              <w:rPr>
                <w:rFonts w:eastAsia="Calibri" w:cstheme="minorHAnsi"/>
                <w:bCs/>
              </w:rPr>
              <w:t xml:space="preserve">, </w:t>
            </w:r>
            <w:r w:rsidR="0069631A" w:rsidRPr="00FD5792">
              <w:rPr>
                <w:rFonts w:eastAsia="Calibri" w:cstheme="minorHAnsi"/>
                <w:bCs/>
              </w:rPr>
              <w:t xml:space="preserve"> 10. MPCE</w:t>
            </w:r>
            <w:r w:rsidR="0069631A">
              <w:rPr>
                <w:rFonts w:eastAsia="Calibri" w:cstheme="minorHAnsi"/>
                <w:bCs/>
              </w:rPr>
              <w:t xml:space="preserve">, </w:t>
            </w:r>
            <w:r w:rsidR="0069631A" w:rsidRPr="00FD5792">
              <w:rPr>
                <w:rFonts w:eastAsia="Calibri" w:cstheme="minorHAnsi"/>
                <w:bCs/>
              </w:rPr>
              <w:t>11. MPMG</w:t>
            </w:r>
            <w:r w:rsidR="0069631A">
              <w:rPr>
                <w:rFonts w:eastAsia="Calibri" w:cstheme="minorHAnsi"/>
                <w:bCs/>
              </w:rPr>
              <w:t xml:space="preserve">, </w:t>
            </w:r>
            <w:r w:rsidR="0069631A" w:rsidRPr="00FD5792">
              <w:rPr>
                <w:rFonts w:eastAsia="Calibri" w:cstheme="minorHAnsi"/>
                <w:bCs/>
              </w:rPr>
              <w:t>12. MPRJ</w:t>
            </w:r>
            <w:r w:rsidR="0069631A">
              <w:rPr>
                <w:rFonts w:eastAsia="Calibri" w:cstheme="minorHAnsi"/>
                <w:bCs/>
              </w:rPr>
              <w:t xml:space="preserve">, </w:t>
            </w:r>
            <w:r w:rsidR="0069631A" w:rsidRPr="00FD5792">
              <w:rPr>
                <w:rFonts w:eastAsia="Calibri" w:cstheme="minorHAnsi"/>
                <w:bCs/>
              </w:rPr>
              <w:t>13. MPSC</w:t>
            </w:r>
          </w:p>
          <w:p w14:paraId="457D41C7" w14:textId="77777777" w:rsidR="0069631A" w:rsidRPr="00FD5792" w:rsidRDefault="0069631A" w:rsidP="0069631A">
            <w:pPr>
              <w:spacing w:after="0" w:line="240" w:lineRule="auto"/>
              <w:jc w:val="center"/>
              <w:rPr>
                <w:rFonts w:eastAsia="Calibri" w:cstheme="minorHAnsi"/>
                <w:bCs/>
              </w:rPr>
            </w:pPr>
          </w:p>
          <w:p w14:paraId="71513726" w14:textId="77777777" w:rsidR="0069631A" w:rsidRPr="0069631A" w:rsidRDefault="0069631A" w:rsidP="0069631A">
            <w:pPr>
              <w:spacing w:after="0" w:line="240" w:lineRule="auto"/>
              <w:jc w:val="center"/>
              <w:rPr>
                <w:rFonts w:eastAsia="Calibri" w:cstheme="minorHAnsi"/>
                <w:bCs/>
              </w:rPr>
            </w:pPr>
            <w:r w:rsidRPr="00FD5792">
              <w:rPr>
                <w:rFonts w:eastAsia="Calibri" w:cstheme="minorHAnsi"/>
                <w:bCs/>
              </w:rPr>
              <w:t xml:space="preserve">          </w:t>
            </w:r>
          </w:p>
          <w:p w14:paraId="7D187BD4" w14:textId="29FFCCF6" w:rsidR="00FD680E" w:rsidRDefault="0069631A" w:rsidP="0069631A">
            <w:pPr>
              <w:spacing w:after="0" w:line="240" w:lineRule="auto"/>
              <w:jc w:val="center"/>
              <w:rPr>
                <w:rFonts w:eastAsia="Calibri" w:cstheme="minorHAnsi"/>
              </w:rPr>
            </w:pPr>
            <w:r w:rsidRPr="00886473">
              <w:rPr>
                <w:rFonts w:eastAsia="Calibri" w:cstheme="minorHAnsi"/>
              </w:rPr>
              <w:t>Não houve voto contrário à presente Nota Técnica em nenhuma das comissões</w:t>
            </w:r>
          </w:p>
          <w:p w14:paraId="5566C857" w14:textId="0BD1CAD7" w:rsidR="0069631A" w:rsidRPr="00886473" w:rsidRDefault="0069631A" w:rsidP="0069631A">
            <w:pPr>
              <w:spacing w:after="0" w:line="240" w:lineRule="auto"/>
              <w:jc w:val="center"/>
              <w:rPr>
                <w:rFonts w:cstheme="minorHAnsi"/>
                <w:b/>
              </w:rPr>
            </w:pPr>
            <w:r>
              <w:rPr>
                <w:rFonts w:eastAsia="Calibri" w:cstheme="minorHAnsi"/>
              </w:rPr>
              <w:t>Votação virtual, em cada COPE, por meio dos respectivos grupos de WhatsApp.</w:t>
            </w:r>
          </w:p>
          <w:p w14:paraId="2F5369A8" w14:textId="77777777" w:rsidR="00FD680E" w:rsidRPr="00886473" w:rsidRDefault="00FD680E">
            <w:pPr>
              <w:spacing w:after="0" w:line="240" w:lineRule="auto"/>
              <w:jc w:val="center"/>
              <w:rPr>
                <w:rFonts w:cstheme="minorHAnsi"/>
                <w:b/>
              </w:rPr>
            </w:pPr>
          </w:p>
          <w:p w14:paraId="2E090C67" w14:textId="77777777" w:rsidR="00FD680E" w:rsidRPr="00886473" w:rsidRDefault="00FD680E">
            <w:pPr>
              <w:spacing w:after="0" w:line="240" w:lineRule="auto"/>
              <w:jc w:val="center"/>
              <w:rPr>
                <w:rFonts w:cstheme="minorHAnsi"/>
                <w:b/>
              </w:rPr>
            </w:pPr>
          </w:p>
          <w:p w14:paraId="2C2D9201" w14:textId="77777777" w:rsidR="00FD680E" w:rsidRPr="00886473" w:rsidRDefault="00FD680E">
            <w:pPr>
              <w:spacing w:after="0" w:line="240" w:lineRule="auto"/>
              <w:jc w:val="center"/>
              <w:rPr>
                <w:rFonts w:cstheme="minorHAnsi"/>
                <w:b/>
              </w:rPr>
            </w:pPr>
          </w:p>
        </w:tc>
      </w:tr>
    </w:tbl>
    <w:p w14:paraId="1A3AB9CC" w14:textId="77777777" w:rsidR="00FD680E" w:rsidRPr="00886473" w:rsidRDefault="00FD680E">
      <w:pPr>
        <w:spacing w:after="0" w:line="240" w:lineRule="auto"/>
        <w:rPr>
          <w:rFonts w:cstheme="minorHAnsi"/>
        </w:rPr>
      </w:pPr>
    </w:p>
    <w:sectPr w:rsidR="00FD680E" w:rsidRPr="00886473">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E125F" w14:textId="77777777" w:rsidR="00975DA0" w:rsidRDefault="00975DA0">
      <w:pPr>
        <w:spacing w:after="0" w:line="240" w:lineRule="auto"/>
      </w:pPr>
      <w:r>
        <w:separator/>
      </w:r>
    </w:p>
  </w:endnote>
  <w:endnote w:type="continuationSeparator" w:id="0">
    <w:p w14:paraId="73C8526E" w14:textId="77777777" w:rsidR="00975DA0" w:rsidRDefault="0097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7A9D" w14:textId="77777777" w:rsidR="00975DA0" w:rsidRDefault="00975DA0">
      <w:pPr>
        <w:rPr>
          <w:sz w:val="12"/>
        </w:rPr>
      </w:pPr>
      <w:r>
        <w:separator/>
      </w:r>
    </w:p>
  </w:footnote>
  <w:footnote w:type="continuationSeparator" w:id="0">
    <w:p w14:paraId="3F3D2F61" w14:textId="77777777" w:rsidR="00975DA0" w:rsidRDefault="00975DA0">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5C75"/>
    <w:multiLevelType w:val="hybridMultilevel"/>
    <w:tmpl w:val="82C07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EF7054B"/>
    <w:multiLevelType w:val="hybridMultilevel"/>
    <w:tmpl w:val="9F24A74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0E"/>
    <w:rsid w:val="000025DA"/>
    <w:rsid w:val="00057000"/>
    <w:rsid w:val="0011257C"/>
    <w:rsid w:val="00170A0C"/>
    <w:rsid w:val="00214FF2"/>
    <w:rsid w:val="00321B8C"/>
    <w:rsid w:val="003E32DF"/>
    <w:rsid w:val="004907B9"/>
    <w:rsid w:val="004A023C"/>
    <w:rsid w:val="005D5165"/>
    <w:rsid w:val="006277FE"/>
    <w:rsid w:val="0069631A"/>
    <w:rsid w:val="006D060E"/>
    <w:rsid w:val="006E4566"/>
    <w:rsid w:val="00886473"/>
    <w:rsid w:val="00932B1B"/>
    <w:rsid w:val="009334BB"/>
    <w:rsid w:val="00975DA0"/>
    <w:rsid w:val="009A10B2"/>
    <w:rsid w:val="00A34CC9"/>
    <w:rsid w:val="00BA3A72"/>
    <w:rsid w:val="00C15905"/>
    <w:rsid w:val="00C51B95"/>
    <w:rsid w:val="00D553C4"/>
    <w:rsid w:val="00DD5BF9"/>
    <w:rsid w:val="00E65AE2"/>
    <w:rsid w:val="00FD5792"/>
    <w:rsid w:val="00FD680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1B62"/>
  <w15:docId w15:val="{CDAEFD3B-08CB-469B-A63D-F74764D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C2"/>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6F6455"/>
    <w:rPr>
      <w:rFonts w:ascii="Segoe UI" w:hAnsi="Segoe UI" w:cs="Segoe UI"/>
      <w:sz w:val="18"/>
      <w:szCs w:val="18"/>
    </w:rPr>
  </w:style>
  <w:style w:type="character" w:customStyle="1" w:styleId="TextodenotaderodapChar">
    <w:name w:val="Texto de nota de rodapé Char"/>
    <w:basedOn w:val="Fontepargpadro"/>
    <w:link w:val="Textodenotaderodap"/>
    <w:uiPriority w:val="99"/>
    <w:qFormat/>
    <w:rsid w:val="00933D45"/>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unhideWhenUsed/>
    <w:qFormat/>
    <w:rsid w:val="00933D45"/>
    <w:rPr>
      <w:vertAlign w:val="superscript"/>
    </w:rPr>
  </w:style>
  <w:style w:type="character" w:customStyle="1" w:styleId="LinkdaInternet">
    <w:name w:val="Link da Internet"/>
    <w:semiHidden/>
    <w:rsid w:val="00933D45"/>
    <w:rPr>
      <w:color w:val="0000FF"/>
      <w:u w:val="single"/>
    </w:rPr>
  </w:style>
  <w:style w:type="character" w:customStyle="1" w:styleId="Caracteresdenotaderodap">
    <w:name w:val="Caracteres de nota de rodapé"/>
    <w:qFormat/>
    <w:rsid w:val="00933D45"/>
    <w:rPr>
      <w:vertAlign w:val="superscript"/>
    </w:rPr>
  </w:style>
  <w:style w:type="character" w:customStyle="1" w:styleId="grame">
    <w:name w:val="grame"/>
    <w:basedOn w:val="Fontepargpadro"/>
    <w:qFormat/>
    <w:rsid w:val="00B97F19"/>
  </w:style>
  <w:style w:type="character" w:customStyle="1" w:styleId="Linkdainternetvisitado">
    <w:name w:val="Link da internet visitado"/>
    <w:basedOn w:val="Fontepargpadro"/>
    <w:uiPriority w:val="99"/>
    <w:semiHidden/>
    <w:unhideWhenUsed/>
    <w:rsid w:val="00B97F19"/>
    <w:rPr>
      <w:color w:val="954F72" w:themeColor="followedHyperlink"/>
      <w:u w:val="single"/>
    </w:rPr>
  </w:style>
  <w:style w:type="character" w:customStyle="1" w:styleId="CorpodetextoChar">
    <w:name w:val="Corpo de texto Char"/>
    <w:basedOn w:val="Fontepargpadro"/>
    <w:link w:val="Corpodetexto"/>
    <w:uiPriority w:val="1"/>
    <w:qFormat/>
    <w:rsid w:val="00097376"/>
    <w:rPr>
      <w:rFonts w:ascii="Times New Roman" w:eastAsia="Times New Roman" w:hAnsi="Times New Roman" w:cs="Times New Roman"/>
      <w:sz w:val="23"/>
      <w:szCs w:val="23"/>
      <w:lang w:val="en-US"/>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097376"/>
    <w:pPr>
      <w:widowControl w:val="0"/>
      <w:spacing w:after="0" w:line="240" w:lineRule="auto"/>
    </w:pPr>
    <w:rPr>
      <w:rFonts w:ascii="Times New Roman" w:eastAsia="Times New Roman" w:hAnsi="Times New Roman" w:cs="Times New Roman"/>
      <w:sz w:val="23"/>
      <w:szCs w:val="23"/>
      <w:lang w:val="en-US"/>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unhideWhenUsed/>
    <w:qFormat/>
    <w:rsid w:val="006F6455"/>
    <w:pPr>
      <w:spacing w:after="0" w:line="240" w:lineRule="auto"/>
    </w:pPr>
    <w:rPr>
      <w:rFonts w:ascii="Segoe UI" w:hAnsi="Segoe UI" w:cs="Segoe UI"/>
      <w:sz w:val="18"/>
      <w:szCs w:val="18"/>
    </w:rPr>
  </w:style>
  <w:style w:type="paragraph" w:styleId="PargrafodaLista">
    <w:name w:val="List Paragraph"/>
    <w:basedOn w:val="Normal"/>
    <w:uiPriority w:val="34"/>
    <w:qFormat/>
    <w:rsid w:val="00933D45"/>
    <w:pPr>
      <w:spacing w:after="0" w:line="240" w:lineRule="auto"/>
      <w:ind w:left="708"/>
    </w:pPr>
    <w:rPr>
      <w:rFonts w:ascii="Arial" w:eastAsia="Times New Roman" w:hAnsi="Arial" w:cs="Times New Roman"/>
      <w:sz w:val="28"/>
      <w:szCs w:val="24"/>
      <w:lang w:eastAsia="pt-BR"/>
    </w:rPr>
  </w:style>
  <w:style w:type="paragraph" w:styleId="Textodenotaderodap">
    <w:name w:val="footnote text"/>
    <w:basedOn w:val="Normal"/>
    <w:link w:val="TextodenotaderodapChar"/>
    <w:uiPriority w:val="99"/>
    <w:unhideWhenUsed/>
    <w:rsid w:val="00933D45"/>
    <w:pPr>
      <w:spacing w:after="0" w:line="240" w:lineRule="auto"/>
    </w:pPr>
    <w:rPr>
      <w:sz w:val="20"/>
      <w:szCs w:val="20"/>
    </w:rPr>
  </w:style>
  <w:style w:type="paragraph" w:styleId="NormalWeb">
    <w:name w:val="Normal (Web)"/>
    <w:basedOn w:val="Normal"/>
    <w:uiPriority w:val="99"/>
    <w:unhideWhenUsed/>
    <w:qFormat/>
    <w:rsid w:val="00B97F19"/>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Default">
    <w:name w:val="Default"/>
    <w:qFormat/>
    <w:rsid w:val="00B97F19"/>
    <w:rPr>
      <w:rFonts w:ascii="Arial" w:eastAsia="Calibri" w:hAnsi="Arial" w:cs="Arial"/>
      <w:color w:val="000000"/>
      <w:sz w:val="24"/>
      <w:szCs w:val="24"/>
    </w:rPr>
  </w:style>
  <w:style w:type="paragraph" w:styleId="SemEspaamento">
    <w:name w:val="No Spacing"/>
    <w:uiPriority w:val="1"/>
    <w:qFormat/>
    <w:rsid w:val="00B97F19"/>
  </w:style>
  <w:style w:type="table" w:styleId="Tabelacomgrade">
    <w:name w:val="Table Grid"/>
    <w:basedOn w:val="Tabelanormal"/>
    <w:uiPriority w:val="59"/>
    <w:rsid w:val="006F6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362FD60890BF41A2E2277F4A64FB72" ma:contentTypeVersion="148" ma:contentTypeDescription="Crie um novo documento." ma:contentTypeScope="" ma:versionID="cde5ca37210481b8a4a913664d6420e9">
  <xsd:schema xmlns:xsd="http://www.w3.org/2001/XMLSchema" xmlns:xs="http://www.w3.org/2001/XMLSchema" xmlns:p="http://schemas.microsoft.com/office/2006/metadata/properties" xmlns:ns2="c910a8d6-9e2a-4473-9e58-7b13ada15873" xmlns:ns3="a4473bb0-d59a-4f9f-b944-32ac1d2f70fc" targetNamespace="http://schemas.microsoft.com/office/2006/metadata/properties" ma:root="true" ma:fieldsID="4ee35fcf327d8f6ad1f182ea8267f5d5" ns2:_="" ns3:_="">
    <xsd:import namespace="c910a8d6-9e2a-4473-9e58-7b13ada15873"/>
    <xsd:import namespace="a4473bb0-d59a-4f9f-b944-32ac1d2f70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0a8d6-9e2a-4473-9e58-7b13ada15873"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73bb0-d59a-4f9f-b944-32ac1d2f70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10a8d6-9e2a-4473-9e58-7b13ada15873">R6Q52FVJEUSM-1412587102-53055</_dlc_DocId>
    <_dlc_DocIdUrl xmlns="c910a8d6-9e2a-4473-9e58-7b13ada15873">
      <Url>https://timpes.sharepoint.com/sites/FS-AGE/_layouts/15/DocIdRedir.aspx?ID=R6Q52FVJEUSM-1412587102-53055</Url>
      <Description>R6Q52FVJEUSM-1412587102-53055</Description>
    </_dlc_DocIdUrl>
  </documentManagement>
</p:properties>
</file>

<file path=customXml/itemProps1.xml><?xml version="1.0" encoding="utf-8"?>
<ds:datastoreItem xmlns:ds="http://schemas.openxmlformats.org/officeDocument/2006/customXml" ds:itemID="{FB82FAC3-BEE0-4EEB-B4B1-5CB3824969A1}">
  <ds:schemaRefs>
    <ds:schemaRef ds:uri="http://schemas.microsoft.com/sharepoint/events"/>
  </ds:schemaRefs>
</ds:datastoreItem>
</file>

<file path=customXml/itemProps2.xml><?xml version="1.0" encoding="utf-8"?>
<ds:datastoreItem xmlns:ds="http://schemas.openxmlformats.org/officeDocument/2006/customXml" ds:itemID="{8E67B7CC-9A2D-4EEF-8377-F347EBFFE828}">
  <ds:schemaRefs>
    <ds:schemaRef ds:uri="http://schemas.microsoft.com/sharepoint/v3/contenttype/forms"/>
  </ds:schemaRefs>
</ds:datastoreItem>
</file>

<file path=customXml/itemProps3.xml><?xml version="1.0" encoding="utf-8"?>
<ds:datastoreItem xmlns:ds="http://schemas.openxmlformats.org/officeDocument/2006/customXml" ds:itemID="{8DED226A-0A7B-4942-BF24-F7296089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0a8d6-9e2a-4473-9e58-7b13ada15873"/>
    <ds:schemaRef ds:uri="a4473bb0-d59a-4f9f-b944-32ac1d2f7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8DF67-0955-47D2-8C2D-4CE3B30AE746}">
  <ds:schemaRefs>
    <ds:schemaRef ds:uri="http://schemas.microsoft.com/office/2006/metadata/properties"/>
    <ds:schemaRef ds:uri="http://schemas.microsoft.com/office/infopath/2007/PartnerControls"/>
    <ds:schemaRef ds:uri="c910a8d6-9e2a-4473-9e58-7b13ada1587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1988</Words>
  <Characters>10737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MPES</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Ferraz Pego</dc:creator>
  <dc:description/>
  <cp:lastModifiedBy>MPGO</cp:lastModifiedBy>
  <cp:revision>3</cp:revision>
  <cp:lastPrinted>2022-08-26T23:14:00Z</cp:lastPrinted>
  <dcterms:created xsi:type="dcterms:W3CDTF">2022-10-24T01:45:00Z</dcterms:created>
  <dcterms:modified xsi:type="dcterms:W3CDTF">2022-10-24T03:33:00Z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0x01010067362FD60890BF41A2E2277F4A64FB72</vt:lpwstr>
  </property>
  <property fmtid="{D5CDD505-2E9C-101B-9397-08002B2CF9AE}" pid="3" name="_dlc_DocIdItemGuid">
    <vt:lpwstr>7afe07f3-7e71-4027-af0d-ce72378ed354</vt:lpwstr>
  </property>
</Properties>
</file>