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Trata-se de pedido de registro de candidatura, no qual se verifica que o(a) requerente apresentou </w:t>
      </w:r>
      <w:r>
        <w:rPr>
          <w:rFonts w:cs="Arial" w:ascii="Cambria" w:hAnsi="Cambria"/>
          <w:color w:val="000000"/>
          <w:sz w:val="24"/>
          <w:szCs w:val="24"/>
          <w:u w:val="single"/>
        </w:rPr>
        <w:t>fotografia inadequada</w:t>
      </w:r>
      <w:r>
        <w:rPr>
          <w:rFonts w:cs="Arial" w:ascii="Cambria" w:hAnsi="Cambria"/>
          <w:color w:val="000000"/>
          <w:sz w:val="24"/>
          <w:szCs w:val="24"/>
        </w:rPr>
        <w:t xml:space="preserve"> que não atende aos moldes exigidos pelo art. 27, inciso II, da Resolução TSE nº 23.609/2019, o que deve ser suprido sob pena de indeferimento do registro, nos termos do parágrafo único do artigo 50 do referido dispositivo, 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verbis</w:t>
      </w:r>
      <w:r>
        <w:rPr>
          <w:rFonts w:cs="Arial" w:ascii="Cambria" w:hAnsi="Cambria"/>
          <w:color w:val="000000"/>
          <w:sz w:val="24"/>
          <w:szCs w:val="24"/>
        </w:rPr>
        <w:t>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Art. 27. O formulário RRC deve ser apresentado com os seguintes documentos anexados ao CANDex: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II - fotografia recente do candidato, inclusive dos candidatos a vice e suplentes, observado o seguinte (Lei nº 9.504/1997, art. 11, § 1º, VIII):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a) dimensões: 161 x 225 pixels (L x A), sem moldura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b) profundidade de cor: 24bpp;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c) preferencialmente colorida, com cor de fundo uniforme;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d) características: frontal (busto), com trajes adequados para fotografia oficial, assegurada a utilização de indumentária e pintura corporal étnicas ou religiosas, bem como de acessórios necessários à pessoa com deficiência; vedada a utilização de elementos cênicos e de outros adornos, especialmente os que tenham conotação de propaganda eleitoral ou que induzam ou dificultem o reconhecimento do candidato pelo eleitor;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Art. 50. O pedido de registro do candidato, a impugnação, a notícia de inelegibilidade e as questões relativas à homonímia devem ser julgados em uma só decisão.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Parágrafo único. Ainda que não tenha havido impugnação, o pedido de registro deve ser indeferido quando constatado pelo juiz ou relator a existência de impedimento à candidatura, desde que assegurada a oportunidade de manifestação prévia, nos termos do art. 36.</w:t>
      </w:r>
    </w:p>
    <w:p>
      <w:pPr>
        <w:pStyle w:val="Normal"/>
        <w:spacing w:lineRule="auto" w:line="360"/>
        <w:ind w:left="1985" w:right="0" w:hanging="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57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Com efeito, a apresentação de fotografia nos moldes exigidos pela Justiça Eleitoral afigura-se como condição de registrabilidade prevista no art. 11, § 1º, inciso VIII, da Lei nº 9.504/97, </w:t>
      </w:r>
      <w:r>
        <w:rPr>
          <w:rFonts w:cs="Arial" w:ascii="Cambria" w:hAnsi="Cambria"/>
          <w:i/>
          <w:iCs/>
          <w:color w:val="000000"/>
          <w:sz w:val="24"/>
          <w:szCs w:val="24"/>
        </w:rPr>
        <w:t>verbis</w:t>
      </w:r>
      <w:r>
        <w:rPr>
          <w:rFonts w:cs="Arial" w:ascii="Cambria" w:hAnsi="Cambria"/>
          <w:color w:val="000000"/>
          <w:sz w:val="24"/>
          <w:szCs w:val="24"/>
        </w:rPr>
        <w:t>:</w:t>
      </w:r>
    </w:p>
    <w:p>
      <w:pPr>
        <w:pStyle w:val="Normal"/>
        <w:spacing w:lineRule="auto" w:line="360"/>
        <w:ind w:left="2041" w:right="0" w:hanging="0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cs="Arial" w:ascii="Cambria" w:hAnsi="Cambria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Art. 11 (...)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>§ 1º O pedido de registro deve ser instruído com os seguintes documentos: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 xml:space="preserve">(…)  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/>
      </w:pPr>
      <w:r>
        <w:rPr>
          <w:rFonts w:cs="Arial" w:ascii="Cambria" w:hAnsi="Cambria"/>
          <w:color w:val="000000"/>
          <w:sz w:val="22"/>
          <w:szCs w:val="22"/>
        </w:rPr>
        <w:t xml:space="preserve">VIII - fotografia do candidato, nas dimensões estabelecidas em instrução da Justiça Eleitoral, para efeito do disposto no § 1º do art. 59.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Ante o exposto, 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color w:val="000000"/>
          <w:sz w:val="24"/>
          <w:szCs w:val="24"/>
        </w:rPr>
        <w:t xml:space="preserve"> manifesta-se pela </w:t>
      </w:r>
      <w:r>
        <w:rPr>
          <w:rFonts w:cs="Arial" w:ascii="Cambria" w:hAnsi="Cambria"/>
          <w:b/>
          <w:bCs/>
          <w:color w:val="000000"/>
          <w:sz w:val="24"/>
          <w:szCs w:val="24"/>
          <w:u w:val="single"/>
        </w:rPr>
        <w:t>conversão do feito em diligência</w:t>
      </w:r>
      <w:r>
        <w:rPr>
          <w:rFonts w:cs="Arial" w:ascii="Cambria" w:hAnsi="Cambria"/>
          <w:color w:val="000000"/>
          <w:sz w:val="24"/>
          <w:szCs w:val="24"/>
        </w:rPr>
        <w:t xml:space="preserve"> (arts. 27, II; 36 e 50 da Resolução TSE nº 23.609/2019) a fim de possibilitar à(ao) requerente sanear o vício no prazo de 3 (três), dias </w:t>
      </w:r>
      <w:r>
        <w:rPr>
          <w:rFonts w:cs="Arial" w:ascii="Cambria" w:hAnsi="Cambria"/>
          <w:color w:val="000000"/>
          <w:sz w:val="24"/>
          <w:szCs w:val="24"/>
          <w:u w:val="single"/>
        </w:rPr>
        <w:t>apresentando outra fotografia que atenda aos requisitos legai</w:t>
      </w:r>
      <w:r>
        <w:rPr>
          <w:rFonts w:cs="Arial" w:ascii="Cambria" w:hAnsi="Cambria"/>
          <w:color w:val="000000"/>
          <w:sz w:val="24"/>
          <w:szCs w:val="24"/>
        </w:rPr>
        <w:t xml:space="preserve">, sendo que, </w:t>
      </w:r>
      <w:r>
        <w:rPr>
          <w:rFonts w:cs="Arial" w:ascii="Cambria" w:hAnsi="Cambria"/>
          <w:color w:val="000000"/>
          <w:sz w:val="24"/>
          <w:szCs w:val="24"/>
          <w:u w:val="single"/>
        </w:rPr>
        <w:t>caso não suprido o vício</w:t>
      </w:r>
      <w:r>
        <w:rPr>
          <w:rFonts w:cs="Arial" w:ascii="Cambria" w:hAnsi="Cambria"/>
          <w:color w:val="000000"/>
          <w:sz w:val="24"/>
          <w:szCs w:val="24"/>
        </w:rPr>
        <w:t xml:space="preserve">, se manifesta desde já pelo 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indeferimento</w:t>
      </w:r>
      <w:r>
        <w:rPr>
          <w:rFonts w:cs="Arial" w:ascii="Cambria" w:hAnsi="Cambria"/>
          <w:color w:val="000000"/>
          <w:sz w:val="24"/>
          <w:szCs w:val="24"/>
        </w:rPr>
        <w:t xml:space="preserve"> do registro.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spacing w:lineRule="auto" w:line="360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eastAsia="Century Gothic" w:cs="Arial" w:ascii="Cambria" w:hAnsi="Cambria"/>
          <w:b/>
          <w:bCs/>
          <w:color w:val="000000"/>
          <w:sz w:val="24"/>
          <w:szCs w:val="24"/>
        </w:rPr>
        <w:tab/>
        <w:tab/>
        <w:tab/>
        <w:tab/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LibreOffice/7.2.6.2$Windows_X86_64 LibreOffice_project/b0ec3a565991f7569a5a7f5d24fed7f52653d754</Application>
  <AppVersion>15.0000</AppVersion>
  <Pages>2</Pages>
  <Words>398</Words>
  <Characters>2152</Characters>
  <CharactersWithSpaces>2539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2023-06-06T13:06:55Z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