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tulo3"/>
        <w:keepNext w:val="false"/>
        <w:widowControl w:val="false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  <w:t>Autos n. XXXXX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60" w:leader="none"/>
        </w:tabs>
        <w:suppressAutoHyphens w:val="false"/>
        <w:outlineLvl w:val="2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jc w:val="both"/>
        <w:rPr>
          <w:rFonts w:ascii="Cambria" w:hAnsi="Cambria" w:eastAsia="TimesNewRomanPSMT;Times New Roman" w:cs="Cambria"/>
          <w:b/>
          <w:b/>
          <w:bCs/>
        </w:rPr>
      </w:pPr>
      <w:r>
        <w:rPr>
          <w:rFonts w:eastAsia="TimesNewRomanPSMT;Times New Roman" w:cs="Cambria" w:ascii="Cambria" w:hAnsi="Cambria"/>
          <w:b/>
          <w:bCs/>
        </w:rPr>
        <w:t>PARECER EM LIBERDADE PROVISÓRIA</w:t>
      </w:r>
    </w:p>
    <w:p>
      <w:pPr>
        <w:pStyle w:val="Normal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ind w:left="0" w:right="0" w:firstLine="2250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ind w:left="0" w:right="0" w:firstLine="2250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ind w:left="0" w:right="0" w:firstLine="2250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/>
      </w:pPr>
      <w:r>
        <w:rPr>
          <w:rFonts w:eastAsia="TimesNewRomanPSMT;Times New Roman" w:cs="Cambria" w:ascii="Cambria" w:hAnsi="Cambria"/>
        </w:rPr>
        <w:t>Trata-se de pedido de liberdade provisória formulado por XXXXXXX, onde alega inexistirem elementos para a manutenção de sua prisão, já que não se configurariam os motivos para a decretação da custódia preventiva, como a garantia da ordem pública, conveniência da instrução criminal e aplicação da lei penal.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  <w:t>Instrui o pedido a certidão criminal negativa desta Comarca, além de comprovante de residência em nome da mãe e nota de culpa.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  <w:t xml:space="preserve">Com efeito, o art. 321 do Código de Processo Penal determina que “ausentes os requisitos que autorizam a decretação da prisão preventiva, o juiz deverá conceder liberdade provisória”. 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  <w:t>Como é cediço, a liberdade é a regra, e, a prisão, a exceção. Há dois direitos fundamentais em contraposição: liberdade e segurança pública. A primeira só deve ceder em caso de extrema necessidade de proteção da segunda.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  <w:t>No caso vertente, pela análise da peça informativa policial verificamos que o requerente fora indiciado por prática de crime praticado sem a ocorrência de violência, o que não lhe aponta, prima facie, características de agressividade e periculosidade.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  <w:t>Quanto à primariedade e bons antecedentes do preso, embora não sejam estes, per si, motivos que venham a conferir ao réu o direito ao benefício requerido, tais circunstâncias fortificam a confiança judicial de que o requerente não se apresenta como uma ameaça ao bom andamento processual, tampouco atentará contra a correta aplicação da lei penal.</w:t>
      </w:r>
    </w:p>
    <w:p>
      <w:pPr>
        <w:pStyle w:val="Normal"/>
        <w:widowControl/>
        <w:suppressAutoHyphens w:val="true"/>
        <w:bidi w:val="0"/>
        <w:ind w:left="0" w:right="0" w:firstLine="1701"/>
        <w:jc w:val="both"/>
        <w:rPr>
          <w:rFonts w:ascii="Cambria" w:hAnsi="Cambria" w:eastAsia="TimesNewRomanPSMT;Times New Roman" w:cs="Cambria"/>
        </w:rPr>
      </w:pPr>
      <w:r>
        <w:rPr>
          <w:rFonts w:eastAsia="TimesNewRomanPSMT;Times New Roman" w:cs="Cambria" w:ascii="Cambria" w:hAnsi="Cambri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eastAsia="TimesNewRomanPSMT;Times New Roman" w:cs="Cambria" w:ascii="Cambria" w:hAnsi="Cambria"/>
          <w:b w:val="false"/>
          <w:bCs w:val="false"/>
          <w:color w:val="000000"/>
          <w:szCs w:val="24"/>
        </w:rPr>
        <w:t>Ante o exposto, coadunando-se a questão analisada às previsões do art. 321 do Código de Processo Penal, o Ministério Público Eleitoral se manifesta pelo deferimento do pleito, devendo o réu ser advertido sobre os efeitos da não obediência aos futuros chamamentos da justiça.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293</Words>
  <Characters>1604</Characters>
  <CharactersWithSpaces>1884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2023-06-10T21:01:37Z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