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360"/>
        <w:rPr>
          <w:sz w:val="24"/>
          <w:szCs w:val="24"/>
        </w:rPr>
      </w:pP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>Prestação de Contas Anual</w:t>
      </w:r>
    </w:p>
    <w:p>
      <w:pPr>
        <w:pStyle w:val="Normal1"/>
        <w:widowControl w:val="false"/>
        <w:numPr>
          <w:ilvl w:val="0"/>
          <w:numId w:val="2"/>
        </w:numPr>
        <w:spacing w:lineRule="auto" w:line="360"/>
        <w:ind w:left="0" w:hanging="0"/>
        <w:rPr>
          <w:sz w:val="24"/>
          <w:szCs w:val="24"/>
        </w:rPr>
      </w:pP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 xml:space="preserve">Autos n. </w:t>
      </w:r>
      <w:r>
        <w:rPr>
          <w:rFonts w:eastAsia="Cambria" w:cs="Cambria" w:ascii="Cambria" w:hAnsi="Cambria"/>
          <w:b/>
          <w:position w:val="0"/>
          <w:sz w:val="24"/>
          <w:sz w:val="24"/>
          <w:szCs w:val="24"/>
          <w:highlight w:val="yellow"/>
          <w:vertAlign w:val="baseline"/>
        </w:rPr>
        <w:t>XXXX</w:t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>Partido: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Cambria" w:cs="Cambria" w:ascii="Cambria" w:hAnsi="Cambria"/>
          <w:b/>
          <w:position w:val="0"/>
          <w:sz w:val="24"/>
          <w:sz w:val="24"/>
          <w:szCs w:val="24"/>
          <w:highlight w:val="yellow"/>
          <w:vertAlign w:val="baseline"/>
        </w:rPr>
        <w:t>XXXX</w:t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>Modelo MPMS adaptado</w:t>
      </w:r>
    </w:p>
    <w:p>
      <w:pPr>
        <w:pStyle w:val="Normal1"/>
        <w:spacing w:lineRule="auto" w:line="360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rPr>
          <w:sz w:val="24"/>
          <w:szCs w:val="24"/>
        </w:rPr>
      </w:pP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 xml:space="preserve">MM. </w:t>
      </w:r>
      <w:r>
        <w:rPr>
          <w:rFonts w:eastAsia="Cambria" w:cs="Cambria" w:ascii="Cambria" w:hAnsi="Cambria"/>
          <w:b/>
          <w:sz w:val="24"/>
          <w:szCs w:val="24"/>
        </w:rPr>
        <w:t>J</w:t>
      </w: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>uiz(a),</w:t>
      </w:r>
    </w:p>
    <w:p>
      <w:pPr>
        <w:pStyle w:val="Normal1"/>
        <w:spacing w:lineRule="auto" w:line="360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Trata-se de prestação de contas apresentadas pelo Partido requerente, referente à movimentação financeira do ano de </w:t>
      </w:r>
      <w:r>
        <w:rPr>
          <w:rFonts w:eastAsia="Cambria" w:cs="Cambria" w:ascii="Cambria" w:hAnsi="Cambria"/>
          <w:position w:val="0"/>
          <w:sz w:val="24"/>
          <w:sz w:val="24"/>
          <w:szCs w:val="24"/>
          <w:highlight w:val="yellow"/>
          <w:vertAlign w:val="baseline"/>
        </w:rPr>
        <w:t>XXXX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Não houve impugnação no prazo legal.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As contas foram submetidas ao procedimento técnico de exame da Justiça Eleitoral.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O relatório de diligências apontou irregularidades na prestação de contas do Partido.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Intimado, o Partido apresentou justificativa e juntou documentos que reputou pertinentes.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Em </w:t>
      </w:r>
      <w:r>
        <w:rPr>
          <w:rFonts w:eastAsia="Cambria" w:cs="Cambria" w:ascii="Cambria" w:hAnsi="Cambria"/>
          <w:sz w:val="24"/>
          <w:szCs w:val="24"/>
        </w:rPr>
        <w:t>relatório técnico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, o servidor da Justiça Eleitoral concluiu que a prestação de contas deve ser desaprovada.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Com vista dos autos, o </w:t>
      </w: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>Ministério Público Eleitoral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Cambria" w:cs="Cambria" w:ascii="Cambria" w:hAnsi="Cambria"/>
          <w:sz w:val="24"/>
          <w:szCs w:val="24"/>
        </w:rPr>
        <w:t>passa a se manifestar.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Desde logo consigne-se que, no tocante ao procedimento em testilha, entende o </w:t>
      </w:r>
      <w:r>
        <w:rPr>
          <w:rFonts w:eastAsia="Cambria" w:cs="Cambria" w:ascii="Cambria" w:hAnsi="Cambria"/>
          <w:i/>
          <w:sz w:val="24"/>
          <w:szCs w:val="24"/>
        </w:rPr>
        <w:t>parquet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, na linha do que consta no relatório final da unidade técnica responsável pelo exame das contas, que as contas do Partido merecem a </w:t>
      </w:r>
      <w:r>
        <w:rPr>
          <w:rFonts w:eastAsia="Cambria" w:cs="Cambria" w:ascii="Cambria" w:hAnsi="Cambria"/>
          <w:position w:val="0"/>
          <w:sz w:val="24"/>
          <w:sz w:val="24"/>
          <w:szCs w:val="24"/>
          <w:u w:val="single"/>
          <w:vertAlign w:val="baseline"/>
        </w:rPr>
        <w:t>desaprovação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, nos termos da Lei 9.096/95 e </w:t>
      </w:r>
      <w:r>
        <w:rPr>
          <w:rFonts w:eastAsia="Cambria" w:cs="Cambria" w:ascii="Cambria" w:hAnsi="Cambria"/>
          <w:sz w:val="24"/>
          <w:szCs w:val="24"/>
        </w:rPr>
        <w:t>R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esolução TSE 23.604/2019.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Ao analisar detidamente os autos, observa-se que as irregularidades apontadas pela unidade técnica responsável pelo exame das contas são suficientes para a rejeição das contas, pois realmente o Partido.... </w:t>
      </w:r>
      <w:r>
        <w:rPr>
          <w:rFonts w:eastAsia="Cambria" w:cs="Cambria" w:ascii="Cambria" w:hAnsi="Cambria"/>
          <w:color w:val="FF0000"/>
          <w:position w:val="0"/>
          <w:sz w:val="24"/>
          <w:sz w:val="24"/>
          <w:szCs w:val="24"/>
          <w:vertAlign w:val="baseline"/>
        </w:rPr>
        <w:t>(explicar a falha ou irregularidade que compromete a regularidade das contas)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Tal irregularidade viola a </w:t>
      </w:r>
      <w:r>
        <w:rPr>
          <w:rFonts w:eastAsia="Cambria" w:cs="Cambria" w:ascii="Cambria" w:hAnsi="Cambria"/>
          <w:sz w:val="24"/>
          <w:szCs w:val="24"/>
        </w:rPr>
        <w:t>legitimidade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 e a lisura da prestação de contas, dificultando o efetivo controle, por parte da Justiça Eleitoral, </w:t>
      </w:r>
      <w:r>
        <w:rPr>
          <w:rFonts w:eastAsia="Cambria" w:cs="Cambria" w:ascii="Cambria" w:hAnsi="Cambria"/>
          <w:sz w:val="24"/>
          <w:szCs w:val="24"/>
        </w:rPr>
        <w:t>da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 licitude da movimentação dos recursos efetuada pelo Partido.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Em decorrência disso, as omissões e falhas da prestação de contas sob exame não asseguram que a movimentação financeira do partido tenha sido desenvolvida de forma </w:t>
      </w:r>
      <w:r>
        <w:rPr>
          <w:rFonts w:eastAsia="Cambria" w:cs="Cambria" w:ascii="Cambria" w:hAnsi="Cambria"/>
          <w:sz w:val="24"/>
          <w:szCs w:val="24"/>
        </w:rPr>
        <w:t>hígida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, gerando a necessidade de sua desaprovação.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Assim, no caso em tela, diante das irregularidades constatadas, as contas não devem ser consideradas regulares pela Justiça Eleitoral, com a consequente aplicação das sanções legais, notadamente as </w:t>
      </w:r>
      <w:r>
        <w:rPr>
          <w:rFonts w:eastAsia="Cambria" w:cs="Cambria" w:ascii="Cambria" w:hAnsi="Cambria"/>
          <w:sz w:val="24"/>
          <w:szCs w:val="24"/>
        </w:rPr>
        <w:t>mencionadas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 nos arts. 46 e 48, da Resolução TSE 23.604/2019.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Ante o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 exposto, o </w:t>
      </w: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 xml:space="preserve">Ministério Público Eleitoral 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se manifesta pela </w:t>
      </w: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 xml:space="preserve">DESAPROVAÇÃO 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das contas apresentadas pelo Partido, nos termos do artigo 45, inciso III, da Resolução </w:t>
      </w:r>
      <w:r>
        <w:rPr>
          <w:rFonts w:eastAsia="Cambria" w:cs="Cambria" w:ascii="Cambria" w:hAnsi="Cambria"/>
          <w:sz w:val="24"/>
          <w:szCs w:val="24"/>
        </w:rPr>
        <w:t>TSE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 23.604/2019, com a consequente aplicação das sanções dos arts. 46 e 48</w:t>
      </w:r>
      <w:r>
        <w:rPr>
          <w:rFonts w:eastAsia="Cambria" w:cs="Cambria" w:ascii="Cambria" w:hAnsi="Cambria"/>
          <w:sz w:val="24"/>
          <w:szCs w:val="24"/>
        </w:rPr>
        <w:t xml:space="preserve"> do mesmo diploma legal.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caps w:val="false"/>
          <w:smallCaps w:val="false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caps w:val="false"/>
          <w:smallCaps w:val="fals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caps w:val="false"/>
          <w:smallCaps w:val="false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caps w:val="false"/>
          <w:smallCaps w:val="fals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________/TO, ___ de _______ de 2023.</w:t>
      </w:r>
    </w:p>
    <w:p>
      <w:pPr>
        <w:pStyle w:val="Normal1"/>
        <w:spacing w:lineRule="auto" w:line="36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/>
        <w:jc w:val="center"/>
        <w:rPr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XXXX</w:t>
      </w:r>
    </w:p>
    <w:p>
      <w:pPr>
        <w:pStyle w:val="Normal1"/>
        <w:spacing w:lineRule="auto" w:line="360"/>
        <w:jc w:val="center"/>
        <w:rPr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Promotor(a) Eleitoral</w:t>
      </w:r>
    </w:p>
    <w:p>
      <w:pPr>
        <w:pStyle w:val="Normal1"/>
        <w:spacing w:lineRule="auto" w:line="36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2</Pages>
  <Words>342</Words>
  <Characters>1957</Characters>
  <CharactersWithSpaces>2277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2023-06-10T16:56:14Z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