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cs="Arial" w:ascii="Cambria" w:hAnsi="Cambria"/>
          <w:b/>
          <w:bCs/>
          <w:color w:val="000000"/>
          <w:sz w:val="24"/>
          <w:szCs w:val="24"/>
        </w:rPr>
        <w:t>RRC nº</w:t>
      </w:r>
    </w:p>
    <w:p>
      <w:pPr>
        <w:pStyle w:val="Normal"/>
        <w:spacing w:lineRule="auto" w:line="360"/>
        <w:jc w:val="both"/>
        <w:rPr>
          <w:rFonts w:ascii="Cambria" w:hAnsi="Cambria"/>
          <w:sz w:val="24"/>
          <w:szCs w:val="24"/>
        </w:rPr>
      </w:pPr>
      <w:r>
        <w:rPr>
          <w:rFonts w:cs="Arial" w:ascii="Cambria" w:hAnsi="Cambria"/>
          <w:b/>
          <w:bCs/>
          <w:color w:val="000000"/>
          <w:sz w:val="24"/>
          <w:szCs w:val="24"/>
        </w:rPr>
        <w:t>Requerente:</w:t>
      </w:r>
    </w:p>
    <w:p>
      <w:pPr>
        <w:pStyle w:val="Normal"/>
        <w:spacing w:lineRule="auto" w:line="360"/>
        <w:jc w:val="both"/>
        <w:rPr>
          <w:rFonts w:ascii="Cambria" w:hAnsi="Cambria"/>
          <w:sz w:val="24"/>
          <w:szCs w:val="24"/>
        </w:rPr>
      </w:pPr>
      <w:r>
        <w:rPr>
          <w:rFonts w:eastAsia="Arial" w:cs="Arial" w:ascii="Cambria" w:hAnsi="Cambria"/>
          <w:b/>
          <w:bCs/>
          <w:color w:val="000000"/>
          <w:sz w:val="24"/>
          <w:szCs w:val="24"/>
        </w:rPr>
        <w:t xml:space="preserve"> </w:t>
      </w:r>
    </w:p>
    <w:p>
      <w:pPr>
        <w:pStyle w:val="Normal"/>
        <w:spacing w:lineRule="auto" w:line="360"/>
        <w:jc w:val="both"/>
        <w:rPr>
          <w:rFonts w:ascii="Cambria" w:hAnsi="Cambria" w:eastAsia="Arial" w:cs="Arial"/>
          <w:b/>
          <w:b/>
          <w:bCs/>
          <w:color w:val="000000"/>
          <w:sz w:val="24"/>
          <w:szCs w:val="24"/>
        </w:rPr>
      </w:pPr>
      <w:r>
        <w:rPr>
          <w:rFonts w:eastAsia="Arial" w:cs="Arial" w:ascii="Cambria" w:hAnsi="Cambria"/>
          <w:b/>
          <w:bCs/>
          <w:color w:val="000000"/>
          <w:sz w:val="24"/>
          <w:szCs w:val="24"/>
        </w:rPr>
      </w:r>
    </w:p>
    <w:p>
      <w:pPr>
        <w:pStyle w:val="Normal"/>
        <w:spacing w:lineRule="auto" w:line="360"/>
        <w:jc w:val="both"/>
        <w:rPr>
          <w:rFonts w:ascii="Cambria" w:hAnsi="Cambria" w:eastAsia="Arial" w:cs="Arial"/>
          <w:b/>
          <w:b/>
          <w:bCs/>
          <w:color w:val="000000"/>
          <w:sz w:val="24"/>
          <w:szCs w:val="24"/>
        </w:rPr>
      </w:pPr>
      <w:r>
        <w:rPr>
          <w:rFonts w:eastAsia="Arial" w:cs="Arial" w:ascii="Cambria" w:hAnsi="Cambria"/>
          <w:b/>
          <w:bCs/>
          <w:color w:val="000000"/>
          <w:sz w:val="24"/>
          <w:szCs w:val="24"/>
        </w:rPr>
      </w:r>
    </w:p>
    <w:p>
      <w:pPr>
        <w:pStyle w:val="Normal"/>
        <w:widowControl/>
        <w:suppressAutoHyphens w:val="true"/>
        <w:overflowPunct w:val="true"/>
        <w:bidi w:val="0"/>
        <w:spacing w:lineRule="auto" w:line="360" w:before="0" w:after="0"/>
        <w:ind w:left="0" w:right="0" w:firstLine="1701"/>
        <w:jc w:val="both"/>
        <w:rPr>
          <w:rFonts w:ascii="Cambria" w:hAnsi="Cambria"/>
          <w:sz w:val="24"/>
          <w:szCs w:val="24"/>
        </w:rPr>
      </w:pPr>
      <w:r>
        <w:rPr>
          <w:rFonts w:cs="Arial" w:ascii="Cambria" w:hAnsi="Cambria"/>
          <w:color w:val="000000"/>
          <w:sz w:val="24"/>
          <w:szCs w:val="24"/>
        </w:rPr>
        <w:t xml:space="preserve">Trata-se de pedido de registro de candidatura, no qual se verifica que o(a) requerente </w:t>
      </w:r>
      <w:r>
        <w:rPr>
          <w:rFonts w:cs="Arial" w:ascii="Cambria" w:hAnsi="Cambria"/>
          <w:color w:val="000000"/>
          <w:sz w:val="24"/>
          <w:szCs w:val="24"/>
          <w:u w:val="single"/>
        </w:rPr>
        <w:t>não possui quitação eleitoral</w:t>
      </w:r>
      <w:r>
        <w:rPr>
          <w:rFonts w:cs="Arial" w:ascii="Cambria" w:hAnsi="Cambria"/>
          <w:color w:val="000000"/>
          <w:sz w:val="24"/>
          <w:szCs w:val="24"/>
        </w:rPr>
        <w:t xml:space="preserve"> em razão de </w:t>
      </w:r>
      <w:r>
        <w:rPr>
          <w:rFonts w:cs="Arial" w:ascii="Cambria" w:hAnsi="Cambria"/>
          <w:color w:val="000000"/>
          <w:sz w:val="24"/>
          <w:szCs w:val="24"/>
          <w:u w:val="single"/>
        </w:rPr>
        <w:t>decisão  que julgou suas contas de campanha como não prestadas</w:t>
      </w:r>
      <w:r>
        <w:rPr>
          <w:rFonts w:cs="Arial" w:ascii="Cambria" w:hAnsi="Cambria"/>
          <w:color w:val="000000"/>
          <w:sz w:val="24"/>
          <w:szCs w:val="24"/>
        </w:rPr>
        <w:t>, consoante informação do cartório eleitoral às fls. ___.</w:t>
      </w:r>
    </w:p>
    <w:p>
      <w:pPr>
        <w:pStyle w:val="Normal"/>
        <w:widowControl/>
        <w:suppressAutoHyphens w:val="true"/>
        <w:overflowPunct w:val="true"/>
        <w:bidi w:val="0"/>
        <w:spacing w:lineRule="auto" w:line="360" w:before="0" w:after="0"/>
        <w:ind w:left="0" w:right="0" w:firstLine="1701"/>
        <w:jc w:val="both"/>
        <w:rPr>
          <w:rFonts w:cs="Arial"/>
          <w:color w:val="000000"/>
        </w:rPr>
      </w:pPr>
      <w:r>
        <w:rPr>
          <w:rFonts w:ascii="Cambria" w:hAnsi="Cambria"/>
          <w:sz w:val="24"/>
          <w:szCs w:val="24"/>
        </w:rPr>
      </w:r>
    </w:p>
    <w:p>
      <w:pPr>
        <w:pStyle w:val="Normal"/>
        <w:widowControl/>
        <w:suppressAutoHyphens w:val="true"/>
        <w:overflowPunct w:val="true"/>
        <w:bidi w:val="0"/>
        <w:spacing w:lineRule="auto" w:line="360" w:before="0" w:after="0"/>
        <w:ind w:left="0" w:right="0" w:firstLine="1701"/>
        <w:jc w:val="both"/>
        <w:rPr>
          <w:rFonts w:ascii="Cambria" w:hAnsi="Cambria"/>
          <w:sz w:val="24"/>
          <w:szCs w:val="24"/>
        </w:rPr>
      </w:pPr>
      <w:r>
        <w:rPr>
          <w:rFonts w:cs="Arial" w:ascii="Cambria" w:hAnsi="Cambria"/>
          <w:color w:val="000000"/>
          <w:sz w:val="24"/>
          <w:szCs w:val="24"/>
        </w:rPr>
        <w:t>Destarte, o(a) requerente não possui a condição de elegibilidade prevista no artigo 11, § 1º, VI e § 7º, da Lei 9.504/97 e disciplinada no art. 28, §§ 2º a 5º, da Resolução TSE nº 23.609/2019.</w:t>
      </w:r>
    </w:p>
    <w:p>
      <w:pPr>
        <w:pStyle w:val="Normal"/>
        <w:widowControl/>
        <w:suppressAutoHyphens w:val="true"/>
        <w:overflowPunct w:val="true"/>
        <w:bidi w:val="0"/>
        <w:spacing w:lineRule="auto" w:line="360" w:before="0" w:after="0"/>
        <w:ind w:left="0" w:right="0" w:firstLine="1701"/>
        <w:jc w:val="both"/>
        <w:rPr>
          <w:rFonts w:cs="Arial"/>
          <w:color w:val="000000"/>
        </w:rPr>
      </w:pPr>
      <w:r>
        <w:rPr>
          <w:rFonts w:ascii="Cambria" w:hAnsi="Cambria"/>
          <w:sz w:val="24"/>
          <w:szCs w:val="24"/>
        </w:rPr>
      </w:r>
    </w:p>
    <w:p>
      <w:pPr>
        <w:pStyle w:val="Normal"/>
        <w:widowControl/>
        <w:suppressAutoHyphens w:val="true"/>
        <w:overflowPunct w:val="true"/>
        <w:bidi w:val="0"/>
        <w:spacing w:lineRule="auto" w:line="360" w:before="0" w:after="0"/>
        <w:ind w:left="0" w:right="0" w:firstLine="1701"/>
        <w:jc w:val="both"/>
        <w:rPr>
          <w:rFonts w:ascii="Cambria" w:hAnsi="Cambria"/>
          <w:sz w:val="24"/>
          <w:szCs w:val="24"/>
        </w:rPr>
      </w:pPr>
      <w:r>
        <w:rPr>
          <w:rFonts w:cs="Arial" w:ascii="Cambria" w:hAnsi="Cambria"/>
          <w:color w:val="000000"/>
          <w:sz w:val="24"/>
          <w:szCs w:val="24"/>
        </w:rPr>
        <w:t>Nesse sentido, vale colacionar precedente do TSE:</w:t>
      </w:r>
    </w:p>
    <w:p>
      <w:pPr>
        <w:pStyle w:val="Normal"/>
        <w:spacing w:lineRule="auto" w:line="360"/>
        <w:ind w:left="0" w:right="0" w:firstLine="1984"/>
        <w:jc w:val="both"/>
        <w:rPr>
          <w:rFonts w:ascii="Cambria" w:hAnsi="Cambria"/>
          <w:sz w:val="24"/>
          <w:szCs w:val="24"/>
        </w:rPr>
      </w:pPr>
      <w:r>
        <w:rPr>
          <w:rFonts w:ascii="Cambria" w:hAnsi="Cambria"/>
          <w:sz w:val="24"/>
          <w:szCs w:val="24"/>
        </w:rPr>
      </w:r>
    </w:p>
    <w:p>
      <w:pPr>
        <w:pStyle w:val="Normal"/>
        <w:widowControl/>
        <w:suppressAutoHyphens w:val="true"/>
        <w:overflowPunct w:val="true"/>
        <w:bidi w:val="0"/>
        <w:spacing w:lineRule="auto" w:line="360" w:before="0" w:after="0"/>
        <w:ind w:left="2268" w:right="0" w:hanging="0"/>
        <w:jc w:val="both"/>
        <w:rPr>
          <w:rFonts w:ascii="Cambria" w:hAnsi="Cambria"/>
          <w:sz w:val="22"/>
          <w:szCs w:val="22"/>
        </w:rPr>
      </w:pPr>
      <w:r>
        <w:rPr>
          <w:rFonts w:eastAsia="Arial" w:cs="Arial" w:ascii="Cambria" w:hAnsi="Cambria"/>
          <w:color w:val="000000"/>
          <w:sz w:val="22"/>
          <w:szCs w:val="22"/>
        </w:rPr>
        <w:t>“</w:t>
      </w:r>
      <w:r>
        <w:rPr>
          <w:rFonts w:cs="Arial" w:ascii="Cambria" w:hAnsi="Cambria"/>
          <w:color w:val="000000"/>
          <w:sz w:val="22"/>
          <w:szCs w:val="22"/>
        </w:rPr>
        <w:t>ELEIÇÕES 2014. RECURSO ESPECIAL. EMBARGOS DE DECLARAÇÃO. DECISÃO MONOCRÁTICA. RECEBIMENTO. AGRAVO REGIMENTAL. DEPUTADO ESTADUAL. QUITAÇÃO ELEITORAL. NÃO APRESENTAÇÃO DAS CONTAS. AUSÊNCIA. AGRAVO REGIMENTAL DESPROVIDO. 1. Recebem-se como agravo regimental os embargos de declaração opostos contra decisão monocrática e com pretensão infringente. 2. O dever de prestar contas está previsto no art. 28 da Lei nº 9.504/97 e, uma vez descumprido, impõe-se o reconhecimento de que o candidato está em mora com esta Justiça Especializada, ou seja, de que não possui quitação de suas obrigações eleitorais (art. 11, § 7º, da Lei nº 9.504/97).  3. Conforme já decidiu o TSE, as condições de elegibilidade não estão previstas somente no art. 14, § 3º, I a VI, da Constituição Federal, mas também na Lei nº 9.504/97, a qual, no art. 11, § 1º, estabelece, entre outras condições, que o candidato tenha quitação eleitoral. Precedente. 4. A exigência de que os candidatos prestem contas dos recursos auferidos tem assento no princípio republicano e é medida que confere legitimidade ao processo democrático, por permitir a fiscalização financeira da campanha, verificando-se, assim, eventual utilização ou recebimento de recursos de forma abusiva, em detrimento da isonomia que deve pautar o pleito. 5. Embargos de declaração recebidos como agravo regimental, ao qual se nega provimento.” (TSE - Embargos de Declaração em Recurso Especial Eleitoral nº 38875, Acórdão de 21/10/2014, Relator(a) Min. LUCIANA CHRISTINA GUIMARÃES LÓSSIO, Publicação: PSESS - Publicado em Sessão, Data 21/10/2014)</w:t>
      </w:r>
    </w:p>
    <w:p>
      <w:pPr>
        <w:pStyle w:val="Normal"/>
        <w:spacing w:lineRule="auto" w:line="360"/>
        <w:ind w:left="0" w:right="0" w:firstLine="1984"/>
        <w:jc w:val="both"/>
        <w:rPr>
          <w:rFonts w:ascii="Cambria" w:hAnsi="Cambria"/>
          <w:sz w:val="24"/>
          <w:szCs w:val="24"/>
        </w:rPr>
      </w:pPr>
      <w:r>
        <w:rPr>
          <w:rFonts w:eastAsia="Arial" w:cs="Arial" w:ascii="Cambria" w:hAnsi="Cambria"/>
          <w:color w:val="000000"/>
          <w:sz w:val="24"/>
          <w:szCs w:val="24"/>
        </w:rPr>
        <w:t xml:space="preserve">   </w:t>
      </w:r>
    </w:p>
    <w:p>
      <w:pPr>
        <w:pStyle w:val="Normal"/>
        <w:widowControl/>
        <w:suppressAutoHyphens w:val="true"/>
        <w:overflowPunct w:val="true"/>
        <w:bidi w:val="0"/>
        <w:spacing w:lineRule="auto" w:line="360" w:before="0" w:after="0"/>
        <w:ind w:left="0" w:right="0" w:firstLine="1701"/>
        <w:jc w:val="both"/>
        <w:rPr>
          <w:rFonts w:ascii="Cambria" w:hAnsi="Cambria"/>
          <w:sz w:val="24"/>
          <w:szCs w:val="24"/>
        </w:rPr>
      </w:pPr>
      <w:r>
        <w:rPr>
          <w:rFonts w:cs="Arial" w:ascii="Cambria" w:hAnsi="Cambria"/>
          <w:color w:val="000000"/>
          <w:sz w:val="24"/>
          <w:szCs w:val="24"/>
        </w:rPr>
        <w:t xml:space="preserve">Outrossim, ressalte-se que a decisão que julga não prestadas as contas de campanha impede o candidato de obter a certidão de quitação eleitoral </w:t>
      </w:r>
      <w:r>
        <w:rPr>
          <w:rFonts w:cs="Arial" w:ascii="Cambria" w:hAnsi="Cambria"/>
          <w:color w:val="000000"/>
          <w:sz w:val="24"/>
          <w:szCs w:val="24"/>
          <w:u w:val="single"/>
        </w:rPr>
        <w:t>durante o curso do mandato ao qual concorreu</w:t>
      </w:r>
      <w:r>
        <w:rPr>
          <w:rFonts w:cs="Arial" w:ascii="Cambria" w:hAnsi="Cambria"/>
          <w:color w:val="000000"/>
          <w:sz w:val="24"/>
          <w:szCs w:val="24"/>
        </w:rPr>
        <w:t>. Assim, todos os candidatos que tiveram suas contas julgadas como não prestadas nas eleições de 2020 encontram-se sem quitação eleitoral para poderem disputar o pleito de 2024.</w:t>
      </w:r>
    </w:p>
    <w:p>
      <w:pPr>
        <w:pStyle w:val="Normal"/>
        <w:widowControl/>
        <w:suppressAutoHyphens w:val="true"/>
        <w:overflowPunct w:val="true"/>
        <w:bidi w:val="0"/>
        <w:spacing w:lineRule="auto" w:line="360" w:before="0" w:after="0"/>
        <w:ind w:left="0" w:right="0" w:firstLine="1701"/>
        <w:jc w:val="both"/>
        <w:rPr>
          <w:rFonts w:cs="Arial"/>
          <w:color w:val="000000"/>
        </w:rPr>
      </w:pPr>
      <w:r>
        <w:rPr>
          <w:rFonts w:ascii="Cambria" w:hAnsi="Cambria"/>
          <w:sz w:val="24"/>
          <w:szCs w:val="24"/>
        </w:rPr>
      </w:r>
    </w:p>
    <w:p>
      <w:pPr>
        <w:pStyle w:val="Normal"/>
        <w:widowControl/>
        <w:suppressAutoHyphens w:val="true"/>
        <w:overflowPunct w:val="true"/>
        <w:bidi w:val="0"/>
        <w:spacing w:lineRule="auto" w:line="360" w:before="0" w:after="0"/>
        <w:ind w:left="0" w:right="0" w:firstLine="1701"/>
        <w:jc w:val="both"/>
        <w:rPr>
          <w:rFonts w:ascii="Cambria" w:hAnsi="Cambria"/>
          <w:sz w:val="24"/>
          <w:szCs w:val="24"/>
        </w:rPr>
      </w:pPr>
      <w:r>
        <w:rPr>
          <w:rFonts w:cs="Arial" w:ascii="Cambria" w:hAnsi="Cambria"/>
          <w:color w:val="000000"/>
          <w:sz w:val="24"/>
          <w:szCs w:val="24"/>
        </w:rPr>
        <w:t xml:space="preserve">Com efeito, a apresentação posterior das contas na referida hipótese, caso feita, servirá </w:t>
      </w:r>
      <w:r>
        <w:rPr>
          <w:rFonts w:cs="Arial" w:ascii="Cambria" w:hAnsi="Cambria"/>
          <w:b/>
          <w:color w:val="000000"/>
          <w:sz w:val="24"/>
          <w:szCs w:val="24"/>
        </w:rPr>
        <w:t>apenas para que a ausência da quitação eleitoral não persista após o fim da legislatura</w:t>
      </w:r>
      <w:r>
        <w:rPr>
          <w:rFonts w:cs="Arial" w:ascii="Cambria" w:hAnsi="Cambria"/>
          <w:color w:val="000000"/>
          <w:sz w:val="24"/>
          <w:szCs w:val="24"/>
        </w:rPr>
        <w:t>,</w:t>
      </w:r>
    </w:p>
    <w:p>
      <w:pPr>
        <w:pStyle w:val="Normal"/>
        <w:widowControl/>
        <w:suppressAutoHyphens w:val="true"/>
        <w:overflowPunct w:val="true"/>
        <w:bidi w:val="0"/>
        <w:spacing w:lineRule="auto" w:line="360" w:before="0" w:after="0"/>
        <w:ind w:left="0" w:right="0" w:firstLine="1701"/>
        <w:jc w:val="both"/>
        <w:rPr>
          <w:rFonts w:cs="Arial"/>
          <w:color w:val="000000"/>
        </w:rPr>
      </w:pPr>
      <w:r>
        <w:rPr>
          <w:rFonts w:ascii="Cambria" w:hAnsi="Cambria"/>
          <w:sz w:val="24"/>
          <w:szCs w:val="24"/>
        </w:rPr>
      </w:r>
    </w:p>
    <w:p>
      <w:pPr>
        <w:pStyle w:val="Normal"/>
        <w:widowControl/>
        <w:suppressAutoHyphens w:val="true"/>
        <w:overflowPunct w:val="true"/>
        <w:bidi w:val="0"/>
        <w:spacing w:lineRule="auto" w:line="360" w:before="0" w:after="0"/>
        <w:ind w:left="0" w:right="0" w:firstLine="1701"/>
        <w:jc w:val="both"/>
        <w:rPr>
          <w:rFonts w:ascii="Cambria" w:hAnsi="Cambria"/>
          <w:sz w:val="24"/>
          <w:szCs w:val="24"/>
        </w:rPr>
      </w:pPr>
      <w:r>
        <w:rPr>
          <w:rFonts w:cs="Arial" w:ascii="Cambria" w:hAnsi="Cambria"/>
          <w:color w:val="000000"/>
          <w:sz w:val="24"/>
          <w:szCs w:val="24"/>
        </w:rPr>
        <w:t>Nessa esteira, dispõe a Súmula nº 42 do TSE:</w:t>
      </w:r>
    </w:p>
    <w:p>
      <w:pPr>
        <w:pStyle w:val="Normal"/>
        <w:spacing w:lineRule="auto" w:line="360"/>
        <w:ind w:left="0" w:right="0" w:firstLine="1984"/>
        <w:jc w:val="both"/>
        <w:rPr>
          <w:rFonts w:ascii="Cambria" w:hAnsi="Cambria"/>
          <w:sz w:val="24"/>
          <w:szCs w:val="24"/>
        </w:rPr>
      </w:pPr>
      <w:r>
        <w:rPr>
          <w:rFonts w:ascii="Cambria" w:hAnsi="Cambria"/>
          <w:sz w:val="24"/>
          <w:szCs w:val="24"/>
        </w:rPr>
      </w:r>
    </w:p>
    <w:p>
      <w:pPr>
        <w:pStyle w:val="Normal"/>
        <w:widowControl/>
        <w:suppressAutoHyphens w:val="true"/>
        <w:overflowPunct w:val="true"/>
        <w:bidi w:val="0"/>
        <w:spacing w:lineRule="auto" w:line="360" w:before="0" w:after="0"/>
        <w:ind w:left="2268" w:right="0" w:hanging="0"/>
        <w:jc w:val="both"/>
        <w:rPr>
          <w:rFonts w:ascii="Cambria" w:hAnsi="Cambria"/>
          <w:sz w:val="22"/>
          <w:szCs w:val="22"/>
        </w:rPr>
      </w:pPr>
      <w:r>
        <w:rPr>
          <w:rFonts w:cs="Arial" w:ascii="Cambria" w:hAnsi="Cambria"/>
          <w:b/>
          <w:bCs/>
          <w:color w:val="000000"/>
          <w:sz w:val="22"/>
          <w:szCs w:val="22"/>
        </w:rPr>
        <w:t>Súmula nº 42: A decisão que julga não prestadas as contas de campanha impede o candidato de obter a certidão de quitação eleitoral durante o curso do mandato ao qual concorreu, persistindo esses efeitos, após esse período, até a efetiva apresentação das contas.</w:t>
      </w:r>
    </w:p>
    <w:p>
      <w:pPr>
        <w:pStyle w:val="Normal"/>
        <w:spacing w:lineRule="auto" w:line="360"/>
        <w:ind w:left="1984" w:right="0" w:hanging="0"/>
        <w:jc w:val="both"/>
        <w:rPr>
          <w:rFonts w:ascii="Cambria" w:hAnsi="Cambria"/>
          <w:b/>
          <w:b/>
          <w:bCs/>
          <w:sz w:val="24"/>
          <w:szCs w:val="24"/>
        </w:rPr>
      </w:pPr>
      <w:r>
        <w:rPr>
          <w:rFonts w:ascii="Cambria" w:hAnsi="Cambria"/>
          <w:b/>
          <w:bCs/>
          <w:sz w:val="24"/>
          <w:szCs w:val="24"/>
        </w:rPr>
      </w:r>
    </w:p>
    <w:p>
      <w:pPr>
        <w:pStyle w:val="Normal"/>
        <w:widowControl/>
        <w:suppressAutoHyphens w:val="true"/>
        <w:overflowPunct w:val="true"/>
        <w:bidi w:val="0"/>
        <w:spacing w:lineRule="auto" w:line="360" w:before="0" w:after="0"/>
        <w:ind w:left="0" w:right="0" w:firstLine="1701"/>
        <w:jc w:val="both"/>
        <w:rPr>
          <w:rFonts w:ascii="Cambria" w:hAnsi="Cambria"/>
          <w:sz w:val="24"/>
          <w:szCs w:val="24"/>
        </w:rPr>
      </w:pPr>
      <w:r>
        <w:rPr>
          <w:rFonts w:cs="Arial" w:ascii="Cambria" w:hAnsi="Cambria"/>
          <w:color w:val="000000"/>
          <w:sz w:val="24"/>
          <w:szCs w:val="24"/>
        </w:rPr>
        <w:t xml:space="preserve">Além disso, cumpre destacar que o processo de registro de candidatura não é o meio adequado para se discutir eventuais vícios no processo de prestação de contas que resultou em decisão transitada em julgado que julgou as contas de campanha do(a) requerente como não prestadas ou para rediscutir o mérito da referida decisão transitada em julgado. </w:t>
      </w:r>
    </w:p>
    <w:p>
      <w:pPr>
        <w:pStyle w:val="Normal"/>
        <w:widowControl/>
        <w:suppressAutoHyphens w:val="true"/>
        <w:overflowPunct w:val="true"/>
        <w:bidi w:val="0"/>
        <w:spacing w:lineRule="auto" w:line="360" w:before="0" w:after="0"/>
        <w:ind w:left="0" w:right="0" w:firstLine="1701"/>
        <w:jc w:val="both"/>
        <w:rPr>
          <w:rFonts w:cs="Arial"/>
          <w:color w:val="000000"/>
        </w:rPr>
      </w:pPr>
      <w:r>
        <w:rPr>
          <w:rFonts w:ascii="Cambria" w:hAnsi="Cambria"/>
          <w:sz w:val="24"/>
          <w:szCs w:val="24"/>
        </w:rPr>
      </w:r>
    </w:p>
    <w:p>
      <w:pPr>
        <w:pStyle w:val="Normal"/>
        <w:widowControl/>
        <w:suppressAutoHyphens w:val="true"/>
        <w:overflowPunct w:val="true"/>
        <w:bidi w:val="0"/>
        <w:spacing w:lineRule="auto" w:line="360" w:before="0" w:after="0"/>
        <w:ind w:left="0" w:right="0" w:firstLine="1701"/>
        <w:jc w:val="both"/>
        <w:rPr>
          <w:rFonts w:ascii="Cambria" w:hAnsi="Cambria"/>
          <w:sz w:val="24"/>
          <w:szCs w:val="24"/>
        </w:rPr>
      </w:pPr>
      <w:r>
        <w:rPr>
          <w:rFonts w:cs="Arial" w:ascii="Cambria" w:hAnsi="Cambria"/>
          <w:color w:val="000000"/>
          <w:sz w:val="24"/>
          <w:szCs w:val="24"/>
        </w:rPr>
        <w:t>Nesse sentido, a inteligência da Súmula nº 51 do TSE:</w:t>
      </w:r>
    </w:p>
    <w:p>
      <w:pPr>
        <w:pStyle w:val="Normal"/>
        <w:spacing w:lineRule="auto" w:line="360"/>
        <w:ind w:left="0" w:right="0" w:firstLine="1984"/>
        <w:jc w:val="both"/>
        <w:rPr>
          <w:rFonts w:ascii="Cambria" w:hAnsi="Cambria"/>
          <w:sz w:val="24"/>
          <w:szCs w:val="24"/>
        </w:rPr>
      </w:pPr>
      <w:r>
        <w:rPr>
          <w:rFonts w:ascii="Cambria" w:hAnsi="Cambria"/>
          <w:sz w:val="24"/>
          <w:szCs w:val="24"/>
        </w:rPr>
      </w:r>
    </w:p>
    <w:p>
      <w:pPr>
        <w:pStyle w:val="Normal"/>
        <w:widowControl/>
        <w:suppressAutoHyphens w:val="true"/>
        <w:overflowPunct w:val="true"/>
        <w:bidi w:val="0"/>
        <w:spacing w:lineRule="auto" w:line="360" w:before="0" w:after="0"/>
        <w:ind w:left="2268" w:right="0" w:hanging="0"/>
        <w:jc w:val="both"/>
        <w:rPr>
          <w:rFonts w:ascii="Cambria" w:hAnsi="Cambria"/>
          <w:sz w:val="22"/>
          <w:szCs w:val="22"/>
        </w:rPr>
      </w:pPr>
      <w:r>
        <w:rPr>
          <w:rFonts w:cs="Arial" w:ascii="Cambria" w:hAnsi="Cambria"/>
          <w:b/>
          <w:bCs/>
          <w:color w:val="000000"/>
          <w:sz w:val="22"/>
          <w:szCs w:val="22"/>
        </w:rPr>
        <w:t>Súmula nº 51: O processo de registro de candidatura não é o meio adequado para se afastarem os eventuais vícios apurados no processo de prestação de contas de campanha ou partidárias.</w:t>
      </w:r>
    </w:p>
    <w:p>
      <w:pPr>
        <w:pStyle w:val="Normal"/>
        <w:spacing w:lineRule="auto" w:line="360"/>
        <w:ind w:left="0" w:right="0" w:firstLine="1984"/>
        <w:jc w:val="both"/>
        <w:rPr>
          <w:rFonts w:ascii="Cambria" w:hAnsi="Cambria" w:cs="Arial"/>
          <w:color w:val="000000"/>
          <w:sz w:val="24"/>
          <w:szCs w:val="24"/>
        </w:rPr>
      </w:pPr>
      <w:r>
        <w:rPr>
          <w:rFonts w:cs="Arial" w:ascii="Cambria" w:hAnsi="Cambria"/>
          <w:color w:val="000000"/>
          <w:sz w:val="24"/>
          <w:szCs w:val="24"/>
        </w:rPr>
      </w:r>
    </w:p>
    <w:p>
      <w:pPr>
        <w:pStyle w:val="Normal"/>
        <w:widowControl/>
        <w:suppressAutoHyphens w:val="true"/>
        <w:overflowPunct w:val="true"/>
        <w:bidi w:val="0"/>
        <w:spacing w:lineRule="auto" w:line="360" w:before="0" w:after="0"/>
        <w:ind w:left="0" w:right="0" w:firstLine="1701"/>
        <w:jc w:val="both"/>
        <w:rPr>
          <w:rFonts w:ascii="Cambria" w:hAnsi="Cambria"/>
          <w:sz w:val="24"/>
          <w:szCs w:val="24"/>
        </w:rPr>
      </w:pPr>
      <w:r>
        <w:rPr>
          <w:rFonts w:cs="Arial" w:ascii="Cambria" w:hAnsi="Cambria"/>
          <w:color w:val="000000"/>
          <w:sz w:val="24"/>
          <w:szCs w:val="24"/>
        </w:rPr>
        <w:t xml:space="preserve">Ante o exposto, o </w:t>
      </w:r>
      <w:r>
        <w:rPr>
          <w:rFonts w:cs="Arial" w:ascii="Cambria" w:hAnsi="Cambria"/>
          <w:b/>
          <w:bCs/>
          <w:color w:val="000000"/>
          <w:sz w:val="24"/>
          <w:szCs w:val="24"/>
        </w:rPr>
        <w:t xml:space="preserve">Ministério Público Eleitoral </w:t>
      </w:r>
      <w:r>
        <w:rPr>
          <w:rFonts w:cs="Arial" w:ascii="Cambria" w:hAnsi="Cambria"/>
          <w:color w:val="000000"/>
          <w:sz w:val="24"/>
          <w:szCs w:val="24"/>
        </w:rPr>
        <w:t xml:space="preserve">manifesta-se pelo </w:t>
      </w:r>
      <w:r>
        <w:rPr>
          <w:rFonts w:cs="Arial" w:ascii="Cambria" w:hAnsi="Cambria"/>
          <w:b/>
          <w:bCs/>
          <w:color w:val="000000"/>
          <w:sz w:val="24"/>
          <w:szCs w:val="24"/>
        </w:rPr>
        <w:t>INDEFERIMENTO</w:t>
      </w:r>
      <w:r>
        <w:rPr>
          <w:rFonts w:cs="Arial" w:ascii="Cambria" w:hAnsi="Cambria"/>
          <w:color w:val="000000"/>
          <w:sz w:val="24"/>
          <w:szCs w:val="24"/>
        </w:rPr>
        <w:t xml:space="preserve"> do registro.</w:t>
      </w:r>
    </w:p>
    <w:p>
      <w:pPr>
        <w:pStyle w:val="Normal"/>
        <w:spacing w:lineRule="auto" w:line="360"/>
        <w:jc w:val="both"/>
        <w:rPr>
          <w:rFonts w:ascii="Cambria" w:hAnsi="Cambria"/>
          <w:sz w:val="24"/>
          <w:szCs w:val="24"/>
        </w:rPr>
      </w:pPr>
      <w:r>
        <w:rPr>
          <w:rFonts w:ascii="Cambria" w:hAnsi="Cambria"/>
          <w:sz w:val="24"/>
          <w:szCs w:val="24"/>
        </w:rPr>
      </w:r>
    </w:p>
    <w:p>
      <w:pPr>
        <w:pStyle w:val="Normal"/>
        <w:widowControl/>
        <w:suppressAutoHyphens w:val="true"/>
        <w:overflowPunct w:val="true"/>
        <w:bidi w:val="0"/>
        <w:spacing w:lineRule="auto" w:line="360" w:before="0" w:after="0"/>
        <w:ind w:left="0" w:right="0" w:firstLine="1701"/>
        <w:jc w:val="both"/>
        <w:rPr>
          <w:rFonts w:ascii="Cambria" w:hAnsi="Cambria"/>
          <w:sz w:val="24"/>
          <w:szCs w:val="24"/>
        </w:rPr>
      </w:pPr>
      <w:r>
        <w:rPr>
          <w:rFonts w:cs="Arial" w:ascii="Cambria" w:hAnsi="Cambria"/>
          <w:color w:val="000000"/>
          <w:sz w:val="24"/>
          <w:szCs w:val="24"/>
        </w:rPr>
        <w:t>Local e data.</w:t>
      </w:r>
    </w:p>
    <w:p>
      <w:pPr>
        <w:pStyle w:val="Normal"/>
        <w:widowControl/>
        <w:suppressAutoHyphens w:val="true"/>
        <w:overflowPunct w:val="true"/>
        <w:bidi w:val="0"/>
        <w:spacing w:lineRule="auto" w:line="360" w:before="0" w:after="0"/>
        <w:ind w:left="0" w:right="0" w:firstLine="1701"/>
        <w:jc w:val="both"/>
        <w:rPr>
          <w:rFonts w:ascii="Cambria" w:hAnsi="Cambria"/>
          <w:sz w:val="24"/>
          <w:szCs w:val="24"/>
        </w:rPr>
      </w:pPr>
      <w:r>
        <w:rPr>
          <w:rFonts w:ascii="Cambria" w:hAnsi="Cambria"/>
          <w:sz w:val="24"/>
          <w:szCs w:val="24"/>
        </w:rPr>
      </w:r>
    </w:p>
    <w:p>
      <w:pPr>
        <w:pStyle w:val="Normal"/>
        <w:widowControl/>
        <w:suppressAutoHyphens w:val="true"/>
        <w:overflowPunct w:val="true"/>
        <w:bidi w:val="0"/>
        <w:spacing w:lineRule="auto" w:line="360" w:before="0" w:after="0"/>
        <w:ind w:left="0" w:right="0" w:firstLine="57"/>
        <w:jc w:val="center"/>
        <w:rPr>
          <w:rFonts w:ascii="Cambria" w:hAnsi="Cambria"/>
          <w:sz w:val="24"/>
          <w:szCs w:val="24"/>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3</Pages>
  <Words>585</Words>
  <Characters>3167</Characters>
  <CharactersWithSpaces>3740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2023-06-06T14:07:44Z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