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Peça adaptada - MPCE</w:t>
      </w:r>
    </w:p>
    <w:p>
      <w:pPr>
        <w:pStyle w:val="Normal1"/>
        <w:spacing w:lineRule="auto" w:line="276"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Autos nº </w:t>
      </w:r>
    </w:p>
    <w:p>
      <w:pPr>
        <w:pStyle w:val="Normal1"/>
        <w:spacing w:lineRule="auto" w:line="276"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Requerente: </w:t>
      </w:r>
    </w:p>
    <w:p>
      <w:pPr>
        <w:pStyle w:val="Normal1"/>
        <w:spacing w:lineRule="auto" w:line="276" w:before="0" w:after="0"/>
        <w:jc w:val="both"/>
        <w:rPr>
          <w:sz w:val="24"/>
          <w:szCs w:val="24"/>
        </w:rPr>
      </w:pPr>
      <w:r>
        <w:rPr/>
      </w:r>
    </w:p>
    <w:p>
      <w:pPr>
        <w:pStyle w:val="Normal1"/>
        <w:spacing w:lineRule="auto" w:line="276" w:before="0" w:after="0"/>
        <w:jc w:val="both"/>
        <w:rPr>
          <w:sz w:val="24"/>
          <w:szCs w:val="24"/>
        </w:rPr>
      </w:pPr>
      <w:r>
        <w:rPr/>
      </w:r>
    </w:p>
    <w:p>
      <w:pPr>
        <w:pStyle w:val="Normal1"/>
        <w:spacing w:lineRule="auto" w:line="276"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76" w:before="0" w:after="120"/>
        <w:ind w:firstLine="1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Trata-se de pedido de regularização de contas JULGADAS NÃO PRESTADAS de __________________, candidato ao cargo de vereador no pleito das Eleições Municipais de 2020. </w:t>
      </w:r>
    </w:p>
    <w:p>
      <w:pPr>
        <w:pStyle w:val="Normal1"/>
        <w:spacing w:lineRule="auto" w:line="276" w:before="0" w:after="120"/>
        <w:ind w:firstLine="1700"/>
        <w:jc w:val="both"/>
        <w:rPr>
          <w:sz w:val="24"/>
          <w:szCs w:val="24"/>
        </w:rPr>
      </w:pPr>
      <w:r>
        <w:rPr>
          <w:sz w:val="24"/>
          <w:szCs w:val="24"/>
        </w:rPr>
        <w:t>Posteriormente foi juntado aos autos certidão com a análise técnica da documentação apresentada às fls. __, que relata que o então candidato não recebeu recursos oriundos do fundo partidário ou de origem não identificada, tendo recebido doação regular de pessoa física devidamente identificada.</w:t>
      </w:r>
    </w:p>
    <w:p>
      <w:pPr>
        <w:pStyle w:val="Normal1"/>
        <w:spacing w:lineRule="auto" w:line="276" w:before="0" w:after="120"/>
        <w:ind w:firstLine="1700"/>
        <w:jc w:val="both"/>
        <w:rPr>
          <w:sz w:val="24"/>
          <w:szCs w:val="24"/>
        </w:rPr>
      </w:pPr>
      <w:r>
        <w:rPr>
          <w:sz w:val="24"/>
          <w:szCs w:val="24"/>
        </w:rPr>
        <w:t>Em suma, cumpriu ele as determinações da Resolução 23.607/2019, ainda que a destempo.</w:t>
      </w:r>
    </w:p>
    <w:p>
      <w:pPr>
        <w:pStyle w:val="Normal1"/>
        <w:spacing w:lineRule="auto" w:line="276" w:before="0" w:after="120"/>
        <w:ind w:firstLine="1700"/>
        <w:jc w:val="both"/>
        <w:rPr>
          <w:sz w:val="24"/>
          <w:szCs w:val="24"/>
        </w:rPr>
      </w:pPr>
      <w:r>
        <w:rPr>
          <w:sz w:val="24"/>
          <w:szCs w:val="24"/>
        </w:rPr>
        <w:t>No ponto, destaca-se o teor do art. 80, I:</w:t>
      </w:r>
    </w:p>
    <w:p>
      <w:pPr>
        <w:pStyle w:val="Normal1"/>
        <w:pBdr/>
        <w:shd w:val="clear" w:fill="FFFFFF"/>
        <w:spacing w:lineRule="auto" w:line="240" w:before="0" w:after="280"/>
        <w:ind w:left="2267" w:hanging="0"/>
        <w:jc w:val="both"/>
        <w:rPr/>
      </w:pPr>
      <w:r>
        <w:rPr/>
        <w:t>Art. 80. A decisão que julgar as contas eleitorais como não prestadas acarreta:</w:t>
      </w:r>
    </w:p>
    <w:p>
      <w:pPr>
        <w:pStyle w:val="Normal1"/>
        <w:pBdr/>
        <w:shd w:val="clear" w:fill="FFFFFF"/>
        <w:spacing w:lineRule="auto" w:line="240" w:before="0" w:after="280"/>
        <w:ind w:left="2267" w:hanging="0"/>
        <w:jc w:val="both"/>
        <w:rPr/>
      </w:pPr>
      <w:r>
        <w:rPr/>
        <w:t xml:space="preserve">I - à candidata ou ao candidato, o </w:t>
      </w:r>
      <w:r>
        <w:rPr>
          <w:b/>
        </w:rPr>
        <w:t>impedimento de obter a certidão de quitação eleitoral até o fim da legislatura</w:t>
      </w:r>
      <w:r>
        <w:rPr/>
        <w:t>, persistindo os efeitos da restrição após esse período até a efetiva apresentação das contas;</w:t>
      </w:r>
    </w:p>
    <w:p>
      <w:pPr>
        <w:pStyle w:val="Normal1"/>
        <w:spacing w:lineRule="auto" w:line="276" w:before="0" w:after="120"/>
        <w:ind w:firstLine="1700"/>
        <w:jc w:val="both"/>
        <w:rPr>
          <w:sz w:val="24"/>
          <w:szCs w:val="24"/>
        </w:rPr>
      </w:pPr>
      <w:r>
        <w:rPr>
          <w:sz w:val="24"/>
          <w:szCs w:val="24"/>
        </w:rPr>
        <w:t>Como se percebe, a efetiva apresentação das contas, que ora se verifica, não tem o condão de permitir a imediata obtenção da certidão de quitação eleitoral, já que a restrição perdura até o final da legislatura (2024).</w:t>
      </w:r>
    </w:p>
    <w:p>
      <w:pPr>
        <w:pStyle w:val="Normal1"/>
        <w:spacing w:lineRule="auto" w:line="276" w:before="0" w:after="120"/>
        <w:ind w:firstLine="1700"/>
        <w:jc w:val="both"/>
        <w:rPr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Diante do exposto, o Ministério Público Eleitoral se manifesta pela procedência do pedido inicial, com a declaração da regularização das contas. Destaca, todavia, que esta não alcança o requerente em relação a sua quitação eleitoral, que permanece AUSENTE até o final de 2024, na forma do artigo 80, I da Resolução 23.607/2019.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1</Pages>
  <Words>249</Words>
  <Characters>1348</Characters>
  <CharactersWithSpaces>1585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2023-06-11T09:28:35Z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