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360" w:lineRule="auto"/>
        <w:jc w:val="both"/>
      </w:pPr>
      <w:r>
        <w:rPr>
          <w:rFonts w:ascii="Cambria" w:hAnsi="Cambria" w:cs="Arial"/>
          <w:b/>
          <w:bCs/>
          <w:color w:val="000000"/>
        </w:rPr>
        <w:t>EXCELENTÍSSIMO SENHOR JUIZ DA _______ZONA ELEITORAL DO TOCANTINS</w:t>
      </w:r>
      <w:r/>
    </w:p>
    <w:p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para15"/>
        <w:spacing w:before="120"/>
        <w:jc w:val="both"/>
        <w:widowControl w:val="0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</w:r>
    </w:p>
    <w:p>
      <w:pPr>
        <w:pStyle w:val="para15"/>
        <w:spacing w:before="120"/>
        <w:jc w:val="both"/>
        <w:widowControl w:val="0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</w:r>
    </w:p>
    <w:p>
      <w:pPr>
        <w:pStyle w:val="para15"/>
        <w:spacing w:before="120"/>
        <w:jc w:val="both"/>
        <w:widowControl w:val="0"/>
        <w:rPr>
          <w:sz w:val="24"/>
        </w:rPr>
      </w:pPr>
      <w:r>
        <w:rPr>
          <w:rFonts w:ascii="Cambria" w:hAnsi="Cambria" w:eastAsia="Cambria" w:cs="Cambria"/>
          <w:b/>
          <w:sz w:val="24"/>
        </w:rPr>
        <w:t>PETIÇÃO</w:t>
      </w:r>
      <w:r>
        <w:rPr>
          <w:rFonts w:ascii="Cambria" w:hAnsi="Cambria" w:eastAsia="Cambria" w:cs="Cambria"/>
          <w:b/>
          <w:color w:val="000000"/>
          <w:sz w:val="24"/>
        </w:rPr>
        <w:t xml:space="preserve"> - CUMPRIMENTO DE SENTENÇA - MULTA ELEITORAL</w:t>
      </w:r>
      <w:r>
        <w:rPr>
          <w:sz w:val="24"/>
        </w:rPr>
      </w:r>
    </w:p>
    <w:p>
      <w:pPr>
        <w:pStyle w:val="para15"/>
        <w:ind w:firstLine="2835"/>
        <w:spacing w:before="120"/>
        <w:jc w:val="both"/>
        <w:widowControl w:val="0"/>
        <w:rPr>
          <w:rFonts w:ascii="Cambria" w:hAnsi="Cambria" w:eastAsia="Cambria" w:cs="Cambria"/>
          <w:color w:val="000000"/>
          <w:sz w:val="24"/>
        </w:rPr>
      </w:pPr>
      <w:r>
        <w:rPr>
          <w:rFonts w:ascii="Cambria" w:hAnsi="Cambria" w:eastAsia="Cambria" w:cs="Cambria"/>
          <w:color w:val="000000"/>
          <w:sz w:val="24"/>
        </w:rPr>
      </w:r>
    </w:p>
    <w:p>
      <w:pPr>
        <w:pStyle w:val="para15"/>
        <w:spacing w:line="360" w:lineRule="auto"/>
        <w:rPr>
          <w:rFonts w:ascii="Cambria" w:hAnsi="Cambria" w:eastAsia="Cambria" w:cs="Cambria"/>
          <w:color w:val="ff0000"/>
          <w:sz w:val="24"/>
        </w:rPr>
      </w:pPr>
      <w:r>
        <w:rPr>
          <w:rFonts w:ascii="Cambria" w:hAnsi="Cambria" w:eastAsia="Cambria" w:cs="Cambria"/>
          <w:color w:val="ff0000"/>
          <w:sz w:val="24"/>
        </w:rPr>
        <w:t xml:space="preserve">Modelo MPTO </w:t>
      </w:r>
    </w:p>
    <w:p>
      <w:pPr>
        <w:pStyle w:val="para15"/>
        <w:ind w:firstLine="2835"/>
        <w:spacing w:before="120"/>
        <w:jc w:val="both"/>
        <w:widowControl w:val="0"/>
        <w:rPr>
          <w:rFonts w:ascii="Cambria" w:hAnsi="Cambria" w:eastAsia="Cambria" w:cs="Cambria"/>
          <w:color w:val="000000"/>
          <w:sz w:val="24"/>
        </w:rPr>
      </w:pPr>
      <w:r>
        <w:rPr>
          <w:rFonts w:ascii="Cambria" w:hAnsi="Cambria" w:eastAsia="Cambria" w:cs="Cambria"/>
          <w:color w:val="000000"/>
          <w:sz w:val="24"/>
        </w:rPr>
      </w:r>
    </w:p>
    <w:p>
      <w:pPr>
        <w:pStyle w:val="para15"/>
        <w:ind w:firstLine="2835"/>
        <w:spacing w:before="120"/>
        <w:jc w:val="both"/>
        <w:widowControl w:val="0"/>
        <w:rPr>
          <w:rFonts w:ascii="Cambria" w:hAnsi="Cambria" w:eastAsia="Cambria" w:cs="Cambria"/>
          <w:color w:val="000000"/>
          <w:sz w:val="24"/>
        </w:rPr>
      </w:pPr>
      <w:r>
        <w:rPr>
          <w:rFonts w:ascii="Cambria" w:hAnsi="Cambria" w:eastAsia="Cambria" w:cs="Cambria"/>
          <w:color w:val="000000"/>
          <w:sz w:val="24"/>
        </w:rPr>
      </w:r>
    </w:p>
    <w:p>
      <w:pPr>
        <w:pStyle w:val="para15"/>
        <w:ind w:firstLine="2835"/>
        <w:spacing w:before="120"/>
        <w:jc w:val="both"/>
        <w:widowControl w:val="0"/>
        <w:rPr>
          <w:rFonts w:ascii="Cambria" w:hAnsi="Cambria" w:eastAsia="Cambria" w:cs="Cambria"/>
          <w:color w:val="000000"/>
          <w:sz w:val="24"/>
        </w:rPr>
      </w:pPr>
      <w:r>
        <w:rPr>
          <w:rFonts w:ascii="Cambria" w:hAnsi="Cambria" w:eastAsia="Cambria" w:cs="Cambria"/>
          <w:color w:val="000000"/>
          <w:sz w:val="24"/>
        </w:rPr>
      </w:r>
    </w:p>
    <w:p>
      <w:pPr>
        <w:pStyle w:val="para15"/>
        <w:ind w:firstLine="2835"/>
        <w:spacing w:before="120"/>
        <w:jc w:val="both"/>
        <w:widowControl w:val="0"/>
        <w:rPr>
          <w:rFonts w:ascii="Cambria" w:hAnsi="Cambria" w:eastAsia="Cambria" w:cs="Cambria"/>
          <w:color w:val="000000"/>
          <w:sz w:val="24"/>
        </w:rPr>
      </w:pPr>
      <w:r>
        <w:rPr>
          <w:rFonts w:ascii="Cambria" w:hAnsi="Cambria" w:eastAsia="Cambria" w:cs="Cambria"/>
          <w:color w:val="000000"/>
          <w:sz w:val="24"/>
        </w:rPr>
      </w:r>
    </w:p>
    <w:p>
      <w:pPr>
        <w:pStyle w:val="para15"/>
        <w:ind w:firstLine="1700"/>
        <w:spacing w:before="120" w:line="276" w:lineRule="auto"/>
        <w:jc w:val="both"/>
        <w:widowControl w:val="0"/>
        <w:rPr>
          <w:sz w:val="24"/>
        </w:rPr>
      </w:pPr>
      <w:r>
        <w:rPr>
          <w:rFonts w:ascii="Cambria" w:hAnsi="Cambria" w:eastAsia="Cambria" w:cs="Cambria"/>
          <w:color w:val="000000"/>
          <w:sz w:val="24"/>
        </w:rPr>
        <w:t xml:space="preserve">O </w:t>
      </w:r>
      <w:r>
        <w:rPr>
          <w:rFonts w:ascii="Cambria" w:hAnsi="Cambria" w:eastAsia="Cambria" w:cs="Cambria"/>
          <w:b/>
          <w:color w:val="000000"/>
          <w:sz w:val="24"/>
        </w:rPr>
        <w:t>MINISTÉRIO PÚBLICO ELEITORAL</w:t>
      </w:r>
      <w:r>
        <w:rPr>
          <w:rFonts w:ascii="Cambria" w:hAnsi="Cambria" w:eastAsia="Cambria" w:cs="Cambria"/>
          <w:color w:val="000000"/>
          <w:sz w:val="24"/>
        </w:rPr>
        <w:t xml:space="preserve">, por seu </w:t>
      </w:r>
      <w:r>
        <w:rPr>
          <w:rFonts w:ascii="Cambria" w:hAnsi="Cambria" w:eastAsia="Cambria" w:cs="Cambria"/>
          <w:sz w:val="24"/>
        </w:rPr>
        <w:t>m</w:t>
      </w:r>
      <w:r>
        <w:rPr>
          <w:rFonts w:ascii="Cambria" w:hAnsi="Cambria" w:eastAsia="Cambria" w:cs="Cambria"/>
          <w:color w:val="000000"/>
          <w:sz w:val="24"/>
        </w:rPr>
        <w:t xml:space="preserve">embro que ao final subscreve, no uso de suas atribuições legais e constitucionais, vem à ilustre presença de Vossa Excelência </w:t>
      </w:r>
      <w:r>
        <w:rPr>
          <w:rFonts w:ascii="Cambria" w:hAnsi="Cambria" w:eastAsia="Cambria" w:cs="Cambria"/>
          <w:b/>
          <w:color w:val="000000"/>
          <w:sz w:val="24"/>
        </w:rPr>
        <w:t>propor</w:t>
      </w:r>
      <w:r>
        <w:rPr>
          <w:rFonts w:ascii="Cambria" w:hAnsi="Cambria" w:eastAsia="Cambria" w:cs="Cambria"/>
          <w:color w:val="000000"/>
          <w:sz w:val="24"/>
        </w:rPr>
        <w:t>, com fundamento nos arts. 127 da Constituição Federal e 72 e 78 da LC 75/1993, bem como no 32, III, da Resolução TSE 23.709/2</w:t>
      </w:r>
      <w:r>
        <w:rPr>
          <w:rFonts w:ascii="Cambria" w:hAnsi="Cambria" w:eastAsia="Cambria" w:cs="Cambria"/>
          <w:sz w:val="24"/>
        </w:rPr>
        <w:t xml:space="preserve">022, o presente requerimento de </w:t>
      </w:r>
      <w:r>
        <w:rPr>
          <w:rFonts w:ascii="Cambria" w:hAnsi="Cambria" w:eastAsia="Cambria" w:cs="Cambria"/>
          <w:b/>
          <w:sz w:val="24"/>
        </w:rPr>
        <w:t xml:space="preserve">CUMPRIMENTO DE SENTENÇA </w:t>
      </w:r>
      <w:r>
        <w:rPr>
          <w:rFonts w:ascii="Cambria" w:hAnsi="Cambria" w:eastAsia="Cambria" w:cs="Cambria"/>
          <w:sz w:val="24"/>
        </w:rPr>
        <w:t xml:space="preserve">em face de </w:t>
      </w:r>
      <w:r>
        <w:rPr>
          <w:rFonts w:ascii="Cambria" w:hAnsi="Cambria" w:eastAsia="Cambria" w:cs="Cambria"/>
          <w:highlight w:val="yellow"/>
          <w:sz w:val="24"/>
        </w:rPr>
        <w:t>XXXX</w:t>
      </w:r>
      <w:r>
        <w:rPr>
          <w:rFonts w:ascii="Cambria" w:hAnsi="Cambria" w:eastAsia="Cambria" w:cs="Cambria"/>
          <w:sz w:val="24"/>
        </w:rPr>
        <w:t xml:space="preserve">,, </w:t>
      </w:r>
      <w:r>
        <w:rPr>
          <w:rFonts w:ascii="Cambria" w:hAnsi="Cambria" w:eastAsia="Cambria" w:cs="Cambria"/>
          <w:color w:val="ff0000"/>
          <w:sz w:val="24"/>
        </w:rPr>
        <w:t>qualificação</w:t>
      </w:r>
      <w:r>
        <w:rPr>
          <w:rFonts w:ascii="Cambria" w:hAnsi="Cambria" w:eastAsia="Cambria" w:cs="Cambria"/>
          <w:sz w:val="24"/>
        </w:rPr>
        <w:t>, em razão dos fatos e fundamentos a seguir expostos.</w:t>
      </w:r>
      <w:r>
        <w:rPr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2268" w:leader="none"/>
        </w:tabs>
        <w:rPr>
          <w:rFonts w:ascii="Cambria" w:hAnsi="Cambria" w:eastAsia="Cambria" w:cs="Cambria"/>
          <w:color w:val="000000"/>
          <w:sz w:val="24"/>
        </w:rPr>
      </w:pPr>
      <w:r>
        <w:rPr>
          <w:rFonts w:ascii="Cambria" w:hAnsi="Cambria" w:eastAsia="Cambria" w:cs="Cambria"/>
          <w:color w:val="000000"/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sz w:val="24"/>
        </w:rPr>
      </w:pPr>
      <w:r>
        <w:rPr>
          <w:rFonts w:ascii="Cambria" w:hAnsi="Cambria" w:eastAsia="Cambria" w:cs="Cambria"/>
          <w:color w:val="000000"/>
          <w:sz w:val="24"/>
        </w:rPr>
        <w:tab/>
      </w:r>
      <w:r>
        <w:rPr>
          <w:rFonts w:ascii="Cambria" w:hAnsi="Cambria" w:eastAsia="Cambria" w:cs="Cambria"/>
          <w:sz w:val="24"/>
        </w:rPr>
        <w:t>Preambularmente, é importante</w:t>
      </w:r>
      <w:r>
        <w:rPr>
          <w:rFonts w:ascii="Cambria" w:hAnsi="Cambria" w:eastAsia="Cambria" w:cs="Cambria"/>
          <w:color w:val="000000"/>
          <w:sz w:val="24"/>
        </w:rPr>
        <w:t xml:space="preserve"> esclarecer a necessidade do oferecimento d</w:t>
      </w:r>
      <w:r>
        <w:rPr>
          <w:rFonts w:ascii="Cambria" w:hAnsi="Cambria" w:eastAsia="Cambria" w:cs="Cambria"/>
          <w:sz w:val="24"/>
        </w:rPr>
        <w:t>o</w:t>
      </w:r>
      <w:r>
        <w:rPr>
          <w:rFonts w:ascii="Cambria" w:hAnsi="Cambria" w:eastAsia="Cambria" w:cs="Cambria"/>
          <w:color w:val="000000"/>
          <w:sz w:val="24"/>
        </w:rPr>
        <w:t xml:space="preserve"> presente requerimento</w:t>
      </w:r>
      <w:r>
        <w:rPr>
          <w:rFonts w:ascii="Cambria" w:hAnsi="Cambria" w:eastAsia="Cambria" w:cs="Cambria"/>
          <w:sz w:val="24"/>
        </w:rPr>
        <w:t xml:space="preserve"> para o cumprimento da sentença proferida nos autos </w:t>
      </w:r>
      <w:r>
        <w:rPr>
          <w:rFonts w:ascii="Cambria" w:hAnsi="Cambria" w:eastAsia="Cambria" w:cs="Cambria"/>
          <w:highlight w:val="yellow"/>
          <w:sz w:val="24"/>
        </w:rPr>
        <w:t>XXXX</w:t>
      </w:r>
      <w:r>
        <w:rPr>
          <w:rFonts w:ascii="Cambria" w:hAnsi="Cambria" w:eastAsia="Cambria" w:cs="Cambria"/>
          <w:highlight w:val="white"/>
          <w:sz w:val="24"/>
        </w:rPr>
        <w:t xml:space="preserve">, que condenou o ora executado ao pagamento do importe de R$ </w:t>
      </w:r>
      <w:r>
        <w:rPr>
          <w:rFonts w:ascii="Cambria" w:hAnsi="Cambria" w:eastAsia="Cambria" w:cs="Cambria"/>
          <w:highlight w:val="yellow"/>
          <w:sz w:val="24"/>
        </w:rPr>
        <w:t>XXXX,</w:t>
      </w:r>
      <w:r>
        <w:rPr>
          <w:rFonts w:ascii="Cambria" w:hAnsi="Cambria" w:eastAsia="Cambria" w:cs="Cambria"/>
          <w:highlight w:val="white"/>
          <w:sz w:val="24"/>
        </w:rPr>
        <w:t xml:space="preserve"> a título de multa eleitoral, pela prática de </w:t>
      </w:r>
      <w:r>
        <w:rPr>
          <w:rFonts w:ascii="Cambria" w:hAnsi="Cambria" w:eastAsia="Cambria" w:cs="Cambria"/>
          <w:highlight w:val="yellow"/>
          <w:sz w:val="24"/>
        </w:rPr>
        <w:t>XXXX</w:t>
      </w:r>
      <w:r>
        <w:rPr>
          <w:rFonts w:ascii="Cambria" w:hAnsi="Cambria" w:eastAsia="Cambria" w:cs="Cambria"/>
          <w:highlight w:val="white"/>
          <w:sz w:val="24"/>
        </w:rPr>
        <w:t>, quantia não adimplida no prazo e forma legais.</w:t>
      </w:r>
      <w:r>
        <w:rPr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rFonts w:ascii="Cambria" w:hAnsi="Cambria" w:eastAsia="Cambria" w:cs="Cambria"/>
          <w:highlight w:val="white"/>
          <w:sz w:val="24"/>
        </w:rPr>
      </w:pPr>
      <w:r>
        <w:rPr>
          <w:rFonts w:ascii="Cambria" w:hAnsi="Cambria" w:eastAsia="Cambria" w:cs="Cambria"/>
          <w:highlight w:val="white"/>
          <w:sz w:val="24"/>
        </w:rPr>
      </w:r>
    </w:p>
    <w:p>
      <w:pPr>
        <w:pStyle w:val="para15"/>
        <w:ind w:firstLine="1700"/>
        <w:spacing w:before="120" w:line="276" w:lineRule="auto"/>
        <w:jc w:val="both"/>
        <w:tabs defTabSz="708">
          <w:tab w:val="left" w:pos="1690" w:leader="none"/>
        </w:tabs>
        <w:rPr>
          <w:sz w:val="24"/>
        </w:rPr>
      </w:pPr>
      <w:r>
        <w:rPr>
          <w:rFonts w:ascii="Cambria" w:hAnsi="Cambria" w:eastAsia="Cambria" w:cs="Cambria"/>
          <w:highlight w:val="white"/>
          <w:sz w:val="24"/>
        </w:rPr>
        <w:t xml:space="preserve">Em consonância com o art. 33, II, III, IV e V, da Resolução TSE 23.709/2022, o </w:t>
      </w:r>
      <w:r>
        <w:rPr>
          <w:rFonts w:ascii="Cambria" w:hAnsi="Cambria" w:eastAsia="Cambria" w:cs="Cambria"/>
          <w:highlight w:val="white"/>
          <w:i/>
          <w:sz w:val="24"/>
        </w:rPr>
        <w:t>parquet</w:t>
      </w:r>
      <w:r>
        <w:rPr>
          <w:rFonts w:ascii="Cambria" w:hAnsi="Cambria" w:eastAsia="Cambria" w:cs="Cambria"/>
          <w:highlight w:val="white"/>
          <w:sz w:val="24"/>
        </w:rPr>
        <w:t xml:space="preserve"> detém a legitimidade para tanto, subsidiária ou exclusiva, a depender do caso, sob pena de remessa dos autos a arquivo. Vejamos:</w:t>
      </w:r>
      <w:r>
        <w:rPr>
          <w:sz w:val="24"/>
        </w:rPr>
      </w:r>
    </w:p>
    <w:p>
      <w:pPr>
        <w:pStyle w:val="para15"/>
        <w:ind w:firstLine="1700"/>
        <w:spacing w:before="120" w:line="276" w:lineRule="auto"/>
        <w:jc w:val="both"/>
        <w:tabs defTabSz="708">
          <w:tab w:val="left" w:pos="1690" w:leader="none"/>
        </w:tabs>
        <w:rPr>
          <w:rFonts w:ascii="Cambria" w:hAnsi="Cambria" w:eastAsia="Cambria" w:cs="Cambria"/>
          <w:highlight w:val="white"/>
          <w:sz w:val="24"/>
        </w:rPr>
      </w:pPr>
      <w:r>
        <w:rPr>
          <w:rFonts w:ascii="Cambria" w:hAnsi="Cambria" w:eastAsia="Cambria" w:cs="Cambria"/>
          <w:highlight w:val="white"/>
          <w:sz w:val="24"/>
        </w:rPr>
      </w:r>
    </w:p>
    <w:p>
      <w:pPr>
        <w:pStyle w:val="para15"/>
        <w:ind w:left="2267"/>
        <w:spacing w:before="120" w:line="276" w:lineRule="auto"/>
        <w:jc w:val="both"/>
        <w:tabs defTabSz="708">
          <w:tab w:val="left" w:pos="1690" w:leader="none"/>
        </w:tabs>
        <w:rPr>
          <w:sz w:val="22"/>
          <w:szCs w:val="22"/>
        </w:rPr>
      </w:pPr>
      <w:r>
        <w:rPr>
          <w:rFonts w:ascii="Cambria" w:hAnsi="Cambria" w:eastAsia="Cambria" w:cs="Cambria"/>
          <w:b/>
          <w:highlight w:val="white"/>
          <w:sz w:val="22"/>
          <w:szCs w:val="22"/>
        </w:rPr>
        <w:t xml:space="preserve">Art. 33. </w:t>
      </w:r>
      <w:r>
        <w:rPr>
          <w:rFonts w:ascii="Cambria" w:hAnsi="Cambria" w:eastAsia="Cambria" w:cs="Cambria"/>
          <w:highlight w:val="white"/>
          <w:sz w:val="22"/>
          <w:szCs w:val="22"/>
        </w:rPr>
        <w:t xml:space="preserve">Cumpridas as determinações constantes do art. 32 desta resolução, a Secretaria Judiciária ou o cartório eleitoral deverá prosseguir da seguinte forma: </w:t>
      </w:r>
      <w:r>
        <w:rPr>
          <w:sz w:val="22"/>
          <w:szCs w:val="22"/>
        </w:rPr>
      </w:r>
    </w:p>
    <w:p>
      <w:pPr>
        <w:pStyle w:val="para15"/>
        <w:ind w:left="2267"/>
        <w:spacing w:before="120" w:line="276" w:lineRule="auto"/>
        <w:jc w:val="both"/>
        <w:tabs defTabSz="708">
          <w:tab w:val="left" w:pos="1690" w:leader="none"/>
        </w:tabs>
        <w:rPr>
          <w:sz w:val="22"/>
          <w:szCs w:val="22"/>
        </w:rPr>
      </w:pPr>
      <w:r>
        <w:rPr>
          <w:rFonts w:ascii="Cambria" w:hAnsi="Cambria" w:eastAsia="Cambria" w:cs="Cambria"/>
          <w:highlight w:val="white"/>
          <w:sz w:val="22"/>
          <w:szCs w:val="22"/>
        </w:rPr>
        <w:t>(...)</w:t>
      </w:r>
      <w:r>
        <w:rPr>
          <w:sz w:val="22"/>
          <w:szCs w:val="22"/>
        </w:rPr>
      </w:r>
    </w:p>
    <w:p>
      <w:pPr>
        <w:pStyle w:val="para15"/>
        <w:ind w:left="2267"/>
        <w:spacing w:after="240" w:line="276" w:lineRule="auto"/>
        <w:jc w:val="both"/>
        <w:tabs defTabSz="708">
          <w:tab w:val="left" w:pos="169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sz w:val="22"/>
          <w:szCs w:val="22"/>
        </w:rPr>
      </w:pPr>
      <w:r>
        <w:rPr>
          <w:rFonts w:ascii="Cambria" w:hAnsi="Cambria" w:eastAsia="Cambria" w:cs="Cambria"/>
          <w:highlight w:val="white"/>
          <w:sz w:val="22"/>
          <w:szCs w:val="22"/>
        </w:rPr>
        <w:t xml:space="preserve">II - intimar, de ofício, a Advocacia-Geral da União (AGU/PGU) e, quando houver, a parte credora para manifestar interesse no cumprimento definitivo de sentença no prazo de 30 (trinta) dias; </w:t>
      </w:r>
      <w:r>
        <w:rPr>
          <w:sz w:val="22"/>
          <w:szCs w:val="22"/>
        </w:rPr>
      </w:r>
    </w:p>
    <w:p>
      <w:pPr>
        <w:pStyle w:val="para15"/>
        <w:ind w:left="2267"/>
        <w:spacing w:after="240" w:line="276" w:lineRule="auto"/>
        <w:jc w:val="both"/>
        <w:tabs defTabSz="708">
          <w:tab w:val="left" w:pos="169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sz w:val="22"/>
          <w:szCs w:val="22"/>
        </w:rPr>
      </w:pPr>
      <w:r>
        <w:rPr>
          <w:rFonts w:ascii="Cambria" w:hAnsi="Cambria" w:eastAsia="Cambria" w:cs="Cambria"/>
          <w:highlight w:val="white"/>
          <w:sz w:val="22"/>
          <w:szCs w:val="22"/>
        </w:rPr>
        <w:t xml:space="preserve">III - </w:t>
      </w:r>
      <w:r>
        <w:rPr>
          <w:rFonts w:ascii="Cambria" w:hAnsi="Cambria" w:eastAsia="Cambria" w:cs="Cambria"/>
          <w:b/>
          <w:highlight w:val="white"/>
          <w:sz w:val="22"/>
          <w:szCs w:val="22"/>
        </w:rPr>
        <w:t>em caso de inércia ou de manifestação pela falta de interesse dos credores de que trata o inciso II deste artigo, intimar o Ministério Público Eleitoral</w:t>
      </w:r>
      <w:r>
        <w:rPr>
          <w:rFonts w:ascii="Cambria" w:hAnsi="Cambria" w:eastAsia="Cambria" w:cs="Cambria"/>
          <w:highlight w:val="white"/>
          <w:sz w:val="22"/>
          <w:szCs w:val="22"/>
        </w:rPr>
        <w:t xml:space="preserve"> para mesma finalidade e em idêntico prazo; </w:t>
      </w:r>
      <w:r>
        <w:rPr>
          <w:sz w:val="22"/>
          <w:szCs w:val="22"/>
        </w:rPr>
      </w:r>
    </w:p>
    <w:p>
      <w:pPr>
        <w:pStyle w:val="para15"/>
        <w:ind w:left="2267"/>
        <w:spacing w:after="240" w:line="276" w:lineRule="auto"/>
        <w:jc w:val="both"/>
        <w:tabs defTabSz="708">
          <w:tab w:val="left" w:pos="169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sz w:val="22"/>
          <w:szCs w:val="22"/>
        </w:rPr>
      </w:pPr>
      <w:r>
        <w:rPr>
          <w:rFonts w:ascii="Cambria" w:hAnsi="Cambria" w:eastAsia="Cambria" w:cs="Cambria"/>
          <w:highlight w:val="white"/>
          <w:sz w:val="22"/>
          <w:szCs w:val="22"/>
        </w:rPr>
        <w:t xml:space="preserve">IV - </w:t>
      </w:r>
      <w:r>
        <w:rPr>
          <w:rFonts w:ascii="Cambria" w:hAnsi="Cambria" w:eastAsia="Cambria" w:cs="Cambria"/>
          <w:b/>
          <w:highlight w:val="white"/>
          <w:sz w:val="22"/>
          <w:szCs w:val="22"/>
        </w:rPr>
        <w:t>sendo os valores sujeitos à cobrança inferiores aos estabelecidos na Portaria do Ministério da Fazenda nº 75, de 22 de março de 2012, ou em outro instrumento normativo que venha a substituí-la, intimar imediatamente o Ministério Público Eleitoral para ingressar com o respectivo cumprimento de sentença, no prazo de 30 (trinta) dias</w:t>
      </w:r>
      <w:r>
        <w:rPr>
          <w:rFonts w:ascii="Cambria" w:hAnsi="Cambria" w:eastAsia="Cambria" w:cs="Cambria"/>
          <w:highlight w:val="white"/>
          <w:sz w:val="22"/>
          <w:szCs w:val="22"/>
        </w:rPr>
        <w:t xml:space="preserve">; e </w:t>
      </w:r>
      <w:r>
        <w:rPr>
          <w:sz w:val="22"/>
          <w:szCs w:val="22"/>
        </w:rPr>
      </w:r>
    </w:p>
    <w:p>
      <w:pPr>
        <w:pStyle w:val="para15"/>
        <w:ind w:left="2267"/>
        <w:spacing w:after="240" w:line="276" w:lineRule="auto"/>
        <w:jc w:val="both"/>
        <w:tabs defTabSz="708">
          <w:tab w:val="left" w:pos="169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sz w:val="22"/>
          <w:szCs w:val="22"/>
        </w:rPr>
      </w:pPr>
      <w:r>
        <w:rPr>
          <w:rFonts w:ascii="Cambria" w:hAnsi="Cambria" w:eastAsia="Cambria" w:cs="Cambria"/>
          <w:highlight w:val="white"/>
          <w:sz w:val="22"/>
          <w:szCs w:val="22"/>
        </w:rPr>
        <w:t xml:space="preserve">V - decorridos os prazos previstos nos incisos II, III e IV deste artigo </w:t>
      </w:r>
      <w:r>
        <w:rPr>
          <w:rFonts w:ascii="Cambria" w:hAnsi="Cambria" w:eastAsia="Cambria" w:cs="Cambria"/>
          <w:b/>
          <w:highlight w:val="white"/>
          <w:sz w:val="22"/>
          <w:szCs w:val="22"/>
        </w:rPr>
        <w:t>sem manifestação dos legitimados, remeter os autos ao arquivo</w:t>
      </w:r>
      <w:r>
        <w:rPr>
          <w:rFonts w:ascii="Cambria" w:hAnsi="Cambria" w:eastAsia="Cambria" w:cs="Cambria"/>
          <w:highlight w:val="white"/>
          <w:sz w:val="22"/>
          <w:szCs w:val="22"/>
        </w:rPr>
        <w:t xml:space="preserve">, sem prejuízo de eventual desarquivamento, caso requerido. </w:t>
      </w:r>
      <w:r>
        <w:rPr>
          <w:sz w:val="22"/>
          <w:szCs w:val="22"/>
        </w:rPr>
      </w:r>
    </w:p>
    <w:p>
      <w:pPr>
        <w:pStyle w:val="para15"/>
        <w:ind w:left="2267"/>
        <w:spacing w:after="240" w:line="276" w:lineRule="auto"/>
        <w:jc w:val="both"/>
        <w:tabs defTabSz="708">
          <w:tab w:val="left" w:pos="169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sz w:val="22"/>
          <w:szCs w:val="22"/>
        </w:rPr>
      </w:pPr>
      <w:r>
        <w:rPr>
          <w:rFonts w:ascii="Cambria" w:hAnsi="Cambria" w:eastAsia="Cambria" w:cs="Cambria"/>
          <w:highlight w:val="white"/>
          <w:sz w:val="22"/>
          <w:szCs w:val="22"/>
        </w:rPr>
        <w:t>(destacou-se)</w:t>
      </w:r>
      <w:r>
        <w:rPr>
          <w:sz w:val="22"/>
          <w:szCs w:val="22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rFonts w:ascii="Cambria" w:hAnsi="Cambria" w:eastAsia="Cambria" w:cs="Cambria"/>
          <w:highlight w:val="white"/>
          <w:color w:val="6b6b6b"/>
          <w:sz w:val="22"/>
          <w:szCs w:val="22"/>
        </w:rPr>
      </w:pPr>
      <w:r>
        <w:rPr>
          <w:rFonts w:ascii="Cambria" w:hAnsi="Cambria" w:eastAsia="Cambria" w:cs="Cambria"/>
          <w:highlight w:val="white"/>
          <w:color w:val="6b6b6b"/>
          <w:sz w:val="22"/>
          <w:szCs w:val="22"/>
        </w:rPr>
      </w:r>
    </w:p>
    <w:p>
      <w:pPr>
        <w:pStyle w:val="para15"/>
        <w:ind w:firstLine="1700"/>
        <w:spacing w:before="120" w:line="276" w:lineRule="auto"/>
        <w:jc w:val="both"/>
        <w:tabs defTabSz="708">
          <w:tab w:val="left" w:pos="1690" w:leader="none"/>
        </w:tabs>
        <w:rPr>
          <w:sz w:val="24"/>
        </w:rPr>
      </w:pPr>
      <w:r>
        <w:rPr>
          <w:rFonts w:ascii="Cambria" w:hAnsi="Cambria" w:eastAsia="Cambria" w:cs="Cambria"/>
          <w:highlight w:val="white"/>
          <w:sz w:val="24"/>
        </w:rPr>
        <w:t xml:space="preserve">Nesse tanto, recebeu os autos com vista </w:t>
      </w:r>
      <w:r>
        <w:rPr>
          <w:rFonts w:ascii="Cambria" w:hAnsi="Cambria" w:eastAsia="Cambria" w:cs="Cambria"/>
          <w:highlight w:val="white"/>
          <w:color w:val="ff0000"/>
          <w:sz w:val="24"/>
        </w:rPr>
        <w:t>após inércia da Advocacia-Geral da União (AGU/PGU) OU do credor OU em razão do valor sujeito à cobrança ser inferior aos estabelecidos na Portaria do Ministério da Fazenda 75, de 22 de março de 2012</w:t>
      </w:r>
      <w:r>
        <w:rPr>
          <w:rFonts w:ascii="Cambria" w:hAnsi="Cambria" w:eastAsia="Cambria" w:cs="Cambria"/>
          <w:highlight w:val="white"/>
          <w:sz w:val="24"/>
        </w:rPr>
        <w:t>.</w:t>
      </w:r>
      <w:r>
        <w:rPr>
          <w:sz w:val="24"/>
        </w:rPr>
      </w:r>
    </w:p>
    <w:p>
      <w:pPr>
        <w:pStyle w:val="para15"/>
        <w:ind w:firstLine="1700"/>
        <w:spacing w:before="120" w:line="276" w:lineRule="auto"/>
        <w:jc w:val="both"/>
        <w:tabs defTabSz="708">
          <w:tab w:val="left" w:pos="1690" w:leader="none"/>
        </w:tabs>
        <w:rPr>
          <w:rFonts w:ascii="Cambria" w:hAnsi="Cambria" w:eastAsia="Cambria" w:cs="Cambria"/>
          <w:highlight w:val="white"/>
          <w:sz w:val="24"/>
        </w:rPr>
      </w:pPr>
      <w:r>
        <w:rPr>
          <w:rFonts w:ascii="Cambria" w:hAnsi="Cambria" w:eastAsia="Cambria" w:cs="Cambria"/>
          <w:highlight w:val="white"/>
          <w:sz w:val="24"/>
        </w:rPr>
      </w:r>
    </w:p>
    <w:p>
      <w:pPr>
        <w:pStyle w:val="para15"/>
        <w:ind w:firstLine="1700"/>
        <w:spacing w:before="120" w:line="276" w:lineRule="auto"/>
        <w:jc w:val="both"/>
        <w:tabs defTabSz="708">
          <w:tab w:val="left" w:pos="1690" w:leader="none"/>
        </w:tabs>
        <w:rPr>
          <w:sz w:val="24"/>
        </w:rPr>
      </w:pPr>
      <w:r>
        <w:rPr>
          <w:rFonts w:ascii="Cambria" w:hAnsi="Cambria" w:eastAsia="Cambria" w:cs="Cambria"/>
          <w:highlight w:val="white"/>
          <w:sz w:val="24"/>
        </w:rPr>
        <w:t xml:space="preserve">Em consonância com o art. 34, </w:t>
      </w:r>
      <w:r>
        <w:rPr>
          <w:rFonts w:ascii="Cambria" w:hAnsi="Cambria" w:eastAsia="Cambria" w:cs="Cambria"/>
          <w:highlight w:val="white"/>
          <w:i/>
          <w:sz w:val="24"/>
        </w:rPr>
        <w:t>caput</w:t>
      </w:r>
      <w:r>
        <w:rPr>
          <w:rFonts w:ascii="Cambria" w:hAnsi="Cambria" w:eastAsia="Cambria" w:cs="Cambria"/>
          <w:highlight w:val="white"/>
          <w:sz w:val="24"/>
        </w:rPr>
        <w:t xml:space="preserve">, da supramencionada Resolução, o procedimento a ser seguido é aquele previsto para o cumprimento de sentença de obrigação de pagar quantia certa do </w:t>
      </w:r>
      <w:r>
        <w:rPr>
          <w:rFonts w:ascii="Cambria" w:hAnsi="Cambria" w:eastAsia="Cambria" w:cs="Cambria"/>
          <w:sz w:val="24"/>
        </w:rPr>
        <w:t>Código de Processo Civil (CPC).</w:t>
      </w:r>
      <w:r>
        <w:rPr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2268" w:leader="none"/>
        </w:tabs>
        <w:rPr>
          <w:rFonts w:ascii="Cambria" w:hAnsi="Cambria" w:eastAsia="Cambria" w:cs="Cambria"/>
          <w:sz w:val="24"/>
        </w:rPr>
      </w:pPr>
      <w:r>
        <w:rPr>
          <w:rFonts w:ascii="Cambria" w:hAnsi="Cambria" w:eastAsia="Cambria" w:cs="Cambria"/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sz w:val="24"/>
        </w:rPr>
      </w:pPr>
      <w:r>
        <w:rPr>
          <w:rFonts w:ascii="Cambria" w:hAnsi="Cambria" w:eastAsia="Cambria" w:cs="Cambria"/>
          <w:color w:val="000000"/>
          <w:sz w:val="24"/>
        </w:rPr>
        <w:tab/>
        <w:t>Consigna o art. 523 d</w:t>
      </w:r>
      <w:r>
        <w:rPr>
          <w:rFonts w:ascii="Cambria" w:hAnsi="Cambria" w:eastAsia="Cambria" w:cs="Cambria"/>
          <w:sz w:val="24"/>
        </w:rPr>
        <w:t xml:space="preserve">o </w:t>
      </w:r>
      <w:r>
        <w:rPr>
          <w:rFonts w:ascii="Cambria" w:hAnsi="Cambria" w:eastAsia="Cambria" w:cs="Cambria"/>
          <w:color w:val="000000"/>
          <w:sz w:val="24"/>
        </w:rPr>
        <w:t>CPC:</w:t>
      </w:r>
      <w:r>
        <w:rPr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rFonts w:ascii="Cambria" w:hAnsi="Cambria" w:eastAsia="Cambria" w:cs="Cambria"/>
          <w:sz w:val="24"/>
        </w:rPr>
      </w:pPr>
      <w:r>
        <w:rPr>
          <w:rFonts w:ascii="Cambria" w:hAnsi="Cambria" w:eastAsia="Cambria" w:cs="Cambria"/>
          <w:sz w:val="24"/>
        </w:rPr>
      </w:r>
    </w:p>
    <w:p>
      <w:pPr>
        <w:pStyle w:val="para15"/>
        <w:ind w:left="2267"/>
        <w:spacing w:before="200" w:after="200" w:line="276" w:lineRule="auto"/>
        <w:jc w:val="both"/>
        <w:tabs defTabSz="708">
          <w:tab w:val="left" w:pos="1690" w:leader="none"/>
        </w:tabs>
        <w:rPr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  <w:t xml:space="preserve">Art. 523. No caso de condenação em quantia certa, ou já fixada em liquidação, e no caso de decisão sobre parcela incontroversa, o cumprimento definitivo da sentença far-se-á a requerimento do exequente, sendo o executado intimado para </w:t>
      </w:r>
      <w:r>
        <w:rPr>
          <w:rFonts w:ascii="Cambria" w:hAnsi="Cambria" w:eastAsia="Cambria" w:cs="Cambria"/>
          <w:b/>
          <w:sz w:val="22"/>
          <w:szCs w:val="22"/>
        </w:rPr>
        <w:t>pagar o débito, no prazo de 15 (quinze) dias</w:t>
      </w:r>
      <w:r>
        <w:rPr>
          <w:rFonts w:ascii="Cambria" w:hAnsi="Cambria" w:eastAsia="Cambria" w:cs="Cambria"/>
          <w:sz w:val="22"/>
          <w:szCs w:val="22"/>
        </w:rPr>
        <w:t>, acrescido de custas, se houver.</w:t>
      </w:r>
      <w:r>
        <w:rPr>
          <w:sz w:val="22"/>
          <w:szCs w:val="22"/>
        </w:rPr>
      </w:r>
    </w:p>
    <w:p>
      <w:pPr>
        <w:pStyle w:val="para15"/>
        <w:ind w:left="2267"/>
        <w:spacing w:before="200" w:after="200" w:line="276" w:lineRule="auto"/>
        <w:jc w:val="both"/>
        <w:tabs defTabSz="708">
          <w:tab w:val="left" w:pos="1690" w:leader="none"/>
        </w:tabs>
        <w:rPr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  <w:t xml:space="preserve">§ 1º </w:t>
      </w:r>
      <w:r>
        <w:rPr>
          <w:rFonts w:ascii="Cambria" w:hAnsi="Cambria" w:eastAsia="Cambria" w:cs="Cambria"/>
          <w:b/>
          <w:sz w:val="22"/>
          <w:szCs w:val="22"/>
        </w:rPr>
        <w:t xml:space="preserve">Não ocorrendo pagamento voluntário no prazo do </w:t>
      </w:r>
      <w:r>
        <w:rPr>
          <w:rFonts w:ascii="Cambria" w:hAnsi="Cambria" w:eastAsia="Cambria" w:cs="Cambria"/>
          <w:b/>
          <w:i/>
          <w:sz w:val="22"/>
          <w:szCs w:val="22"/>
        </w:rPr>
        <w:t>caput</w:t>
      </w:r>
      <w:r>
        <w:rPr>
          <w:rFonts w:ascii="Cambria" w:hAnsi="Cambria" w:eastAsia="Cambria" w:cs="Cambria"/>
          <w:b/>
          <w:sz w:val="22"/>
          <w:szCs w:val="22"/>
        </w:rPr>
        <w:t>, o débito será acrescido de multa de dez por cento</w:t>
      </w:r>
      <w:r>
        <w:rPr>
          <w:rFonts w:ascii="Cambria" w:hAnsi="Cambria" w:eastAsia="Cambria" w:cs="Cambria"/>
          <w:sz w:val="22"/>
          <w:szCs w:val="22"/>
        </w:rPr>
        <w:t xml:space="preserve"> e, também, de honorários de advogado de dez por cento.</w:t>
      </w:r>
      <w:r>
        <w:rPr>
          <w:sz w:val="22"/>
          <w:szCs w:val="22"/>
        </w:rPr>
      </w:r>
    </w:p>
    <w:p>
      <w:pPr>
        <w:pStyle w:val="para15"/>
        <w:ind w:left="2267"/>
        <w:spacing w:before="200" w:after="200" w:line="276" w:lineRule="auto"/>
        <w:jc w:val="both"/>
        <w:tabs defTabSz="708">
          <w:tab w:val="left" w:pos="1690" w:leader="none"/>
        </w:tabs>
        <w:rPr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  <w:t>§ 2º Efetuado o pagamento parcial no prazo previsto no caput , a multa e os honorários previstos no § 1º incidirão sobre o restante.</w:t>
      </w:r>
      <w:r>
        <w:rPr>
          <w:sz w:val="22"/>
          <w:szCs w:val="22"/>
        </w:rPr>
      </w:r>
    </w:p>
    <w:p>
      <w:pPr>
        <w:pStyle w:val="para15"/>
        <w:ind w:left="2267"/>
        <w:spacing w:before="200" w:after="200" w:line="276" w:lineRule="auto"/>
        <w:jc w:val="both"/>
        <w:tabs defTabSz="708">
          <w:tab w:val="left" w:pos="1690" w:leader="none"/>
        </w:tabs>
        <w:rPr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  <w:t>§ 3º Não efetuado tempestivamente o pagamento voluntário, será expedido, desde logo, mandado de penhora e avaliação, seguindo-se os atos de expropriação.</w:t>
      </w:r>
      <w:r>
        <w:rPr>
          <w:sz w:val="22"/>
          <w:szCs w:val="22"/>
        </w:rPr>
      </w:r>
    </w:p>
    <w:p>
      <w:pPr>
        <w:pStyle w:val="para15"/>
        <w:ind w:left="2267"/>
        <w:spacing w:before="200" w:after="200" w:line="276" w:lineRule="auto"/>
        <w:jc w:val="both"/>
        <w:tabs defTabSz="708">
          <w:tab w:val="left" w:pos="1690" w:leader="none"/>
        </w:tabs>
        <w:rPr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  <w:t>(destacou-se)</w:t>
      </w:r>
      <w:r>
        <w:rPr>
          <w:sz w:val="22"/>
          <w:szCs w:val="22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rFonts w:ascii="Cambria" w:hAnsi="Cambria" w:eastAsia="Cambria" w:cs="Cambria"/>
          <w:sz w:val="22"/>
          <w:szCs w:val="22"/>
        </w:rPr>
      </w:pPr>
      <w:r>
        <w:rPr>
          <w:rFonts w:ascii="Cambria" w:hAnsi="Cambria" w:eastAsia="Cambria" w:cs="Cambria"/>
          <w:sz w:val="22"/>
          <w:szCs w:val="22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sz w:val="24"/>
        </w:rPr>
      </w:pPr>
      <w:r>
        <w:rPr>
          <w:rFonts w:ascii="Cambria" w:hAnsi="Cambria" w:eastAsia="Cambria" w:cs="Cambria"/>
          <w:color w:val="000000"/>
          <w:sz w:val="24"/>
        </w:rPr>
        <w:tab/>
      </w:r>
      <w:r>
        <w:rPr>
          <w:rFonts w:ascii="Cambria" w:hAnsi="Cambria" w:eastAsia="Cambria" w:cs="Cambria"/>
          <w:sz w:val="24"/>
        </w:rPr>
        <w:t xml:space="preserve">Verifica-se do ID </w:t>
      </w:r>
      <w:r>
        <w:rPr>
          <w:rFonts w:ascii="Cambria" w:hAnsi="Cambria" w:eastAsia="Cambria" w:cs="Cambria"/>
          <w:highlight w:val="yellow"/>
          <w:sz w:val="24"/>
        </w:rPr>
        <w:t>XXXX</w:t>
      </w:r>
      <w:r>
        <w:rPr>
          <w:rFonts w:ascii="Cambria" w:hAnsi="Cambria" w:eastAsia="Cambria" w:cs="Cambria"/>
          <w:highlight w:val="white"/>
          <w:sz w:val="24"/>
        </w:rPr>
        <w:t xml:space="preserve">, que, como se fez alusão, mesmo após o trânsito em julgado da sentença encartada no ID </w:t>
      </w:r>
      <w:r>
        <w:rPr>
          <w:rFonts w:ascii="Cambria" w:hAnsi="Cambria" w:eastAsia="Cambria" w:cs="Cambria"/>
          <w:highlight w:val="yellow"/>
          <w:sz w:val="24"/>
        </w:rPr>
        <w:t xml:space="preserve">XXXX </w:t>
      </w:r>
      <w:r>
        <w:rPr>
          <w:rFonts w:ascii="Cambria" w:hAnsi="Cambria" w:eastAsia="Cambria" w:cs="Cambria"/>
          <w:highlight w:val="white"/>
          <w:sz w:val="24"/>
        </w:rPr>
        <w:t>não houve pagamento do débito pelo ora executado.</w:t>
      </w:r>
      <w:r>
        <w:rPr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rFonts w:ascii="Cambria" w:hAnsi="Cambria" w:eastAsia="Cambria" w:cs="Cambria"/>
          <w:highlight w:val="white"/>
          <w:sz w:val="24"/>
        </w:rPr>
      </w:pPr>
      <w:r>
        <w:rPr>
          <w:rFonts w:ascii="Cambria" w:hAnsi="Cambria" w:eastAsia="Cambria" w:cs="Cambria"/>
          <w:highlight w:val="white"/>
          <w:sz w:val="24"/>
        </w:rPr>
      </w:r>
    </w:p>
    <w:p>
      <w:pPr>
        <w:pStyle w:val="para15"/>
        <w:ind w:firstLine="1700"/>
        <w:spacing w:before="120" w:line="276" w:lineRule="auto"/>
        <w:jc w:val="both"/>
        <w:tabs defTabSz="708">
          <w:tab w:val="left" w:pos="1690" w:leader="none"/>
        </w:tabs>
        <w:rPr>
          <w:sz w:val="24"/>
        </w:rPr>
      </w:pPr>
      <w:r>
        <w:rPr>
          <w:rFonts w:ascii="Cambria" w:hAnsi="Cambria" w:eastAsia="Cambria" w:cs="Cambria"/>
          <w:highlight w:val="white"/>
          <w:sz w:val="24"/>
        </w:rPr>
        <w:t>Consigna-se a necessidade de atualização do valor da multa aplicada, com a juntada de memória de cálculo. com demonstrativo discriminado e atualização do crédito.</w:t>
      </w:r>
      <w:r>
        <w:rPr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2268" w:leader="none"/>
        </w:tabs>
        <w:rPr>
          <w:rFonts w:ascii="Cambria" w:hAnsi="Cambria" w:eastAsia="Cambria" w:cs="Cambria"/>
          <w:sz w:val="24"/>
        </w:rPr>
      </w:pPr>
      <w:r>
        <w:rPr>
          <w:rFonts w:ascii="Cambria" w:hAnsi="Cambria" w:eastAsia="Cambria" w:cs="Cambria"/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sz w:val="24"/>
        </w:rPr>
      </w:pPr>
      <w:r>
        <w:rPr>
          <w:rFonts w:ascii="Cambria" w:hAnsi="Cambria" w:eastAsia="Cambria" w:cs="Cambria"/>
          <w:color w:val="000000"/>
          <w:sz w:val="24"/>
        </w:rPr>
        <w:tab/>
        <w:t xml:space="preserve">Ante o exposto, o </w:t>
      </w:r>
      <w:r>
        <w:rPr>
          <w:rFonts w:ascii="Cambria" w:hAnsi="Cambria" w:eastAsia="Cambria" w:cs="Cambria"/>
          <w:b/>
          <w:color w:val="000000"/>
          <w:sz w:val="24"/>
        </w:rPr>
        <w:t xml:space="preserve">Ministério Público Eleitoral </w:t>
      </w:r>
      <w:r>
        <w:rPr>
          <w:rFonts w:ascii="Cambria" w:hAnsi="Cambria" w:eastAsia="Cambria" w:cs="Cambria"/>
          <w:color w:val="000000"/>
          <w:sz w:val="24"/>
        </w:rPr>
        <w:t>requer</w:t>
      </w:r>
      <w:r>
        <w:rPr>
          <w:rFonts w:ascii="Cambria" w:hAnsi="Cambria" w:eastAsia="Cambria" w:cs="Cambria"/>
          <w:sz w:val="24"/>
        </w:rPr>
        <w:t>:</w:t>
      </w:r>
      <w:r>
        <w:rPr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rFonts w:ascii="Cambria" w:hAnsi="Cambria" w:eastAsia="Cambria" w:cs="Cambria"/>
          <w:sz w:val="24"/>
        </w:rPr>
      </w:pPr>
      <w:r>
        <w:rPr>
          <w:rFonts w:ascii="Cambria" w:hAnsi="Cambria" w:eastAsia="Cambria" w:cs="Cambria"/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sz w:val="24"/>
        </w:rPr>
      </w:pPr>
      <w:r>
        <w:rPr>
          <w:rFonts w:ascii="Cambria" w:hAnsi="Cambria" w:eastAsia="Cambria" w:cs="Cambria"/>
          <w:color w:val="000000"/>
          <w:sz w:val="24"/>
        </w:rPr>
        <w:tab/>
        <w:t>a) a confecção e juntada aos autos da atualização discriminada do crédito devido pelo executado em face da multa que lhe fora aplicada;</w:t>
      </w:r>
      <w:r>
        <w:rPr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2268" w:leader="none"/>
        </w:tabs>
        <w:rPr>
          <w:rFonts w:ascii="Cambria" w:hAnsi="Cambria" w:eastAsia="Cambria" w:cs="Cambria"/>
          <w:sz w:val="24"/>
        </w:rPr>
      </w:pPr>
      <w:r>
        <w:rPr>
          <w:rFonts w:ascii="Cambria" w:hAnsi="Cambria" w:eastAsia="Cambria" w:cs="Cambria"/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sz w:val="24"/>
        </w:rPr>
      </w:pPr>
      <w:r>
        <w:rPr>
          <w:rFonts w:ascii="Cambria" w:hAnsi="Cambria" w:eastAsia="Cambria" w:cs="Cambria"/>
          <w:color w:val="000000"/>
          <w:sz w:val="24"/>
        </w:rPr>
        <w:tab/>
        <w:t xml:space="preserve">b) a </w:t>
      </w:r>
      <w:r>
        <w:rPr>
          <w:rFonts w:ascii="Cambria" w:hAnsi="Cambria" w:eastAsia="Cambria" w:cs="Cambria"/>
          <w:sz w:val="24"/>
        </w:rPr>
        <w:t>notificação</w:t>
      </w:r>
      <w:r>
        <w:rPr>
          <w:rFonts w:ascii="Cambria" w:hAnsi="Cambria" w:eastAsia="Cambria" w:cs="Cambria"/>
          <w:color w:val="000000"/>
          <w:sz w:val="24"/>
        </w:rPr>
        <w:t xml:space="preserve"> do executado para efetuar o pagamento do débito no prazo de 15 (quinze) dias, sob pena de incidência d</w:t>
      </w:r>
      <w:r>
        <w:rPr>
          <w:rFonts w:ascii="Cambria" w:hAnsi="Cambria" w:eastAsia="Cambria" w:cs="Cambria"/>
          <w:sz w:val="24"/>
        </w:rPr>
        <w:t>e multa de 10% sobre o valor devido;</w:t>
      </w:r>
      <w:r>
        <w:rPr>
          <w:sz w:val="24"/>
        </w:rPr>
      </w:r>
    </w:p>
    <w:p>
      <w:pPr>
        <w:pStyle w:val="para15"/>
        <w:spacing w:before="120" w:line="276" w:lineRule="auto"/>
        <w:jc w:val="both"/>
        <w:tabs defTabSz="708">
          <w:tab w:val="left" w:pos="1690" w:leader="none"/>
        </w:tabs>
        <w:rPr>
          <w:rFonts w:ascii="Cambria" w:hAnsi="Cambria" w:eastAsia="Cambria" w:cs="Cambria"/>
          <w:sz w:val="24"/>
        </w:rPr>
      </w:pPr>
      <w:r>
        <w:rPr>
          <w:rFonts w:ascii="Cambria" w:hAnsi="Cambria" w:eastAsia="Cambria" w:cs="Cambria"/>
          <w:sz w:val="24"/>
        </w:rPr>
      </w:r>
    </w:p>
    <w:p>
      <w:pPr>
        <w:pStyle w:val="para15"/>
        <w:ind w:firstLine="1701"/>
        <w:spacing w:line="276" w:lineRule="auto"/>
        <w:jc w:val="both"/>
        <w:widowControl w:val="0"/>
        <w:rPr>
          <w:sz w:val="24"/>
        </w:rPr>
      </w:pPr>
      <w:r>
        <w:rPr>
          <w:rFonts w:ascii="Cambria" w:hAnsi="Cambria" w:eastAsia="Cambria" w:cs="Cambria"/>
          <w:sz w:val="24"/>
        </w:rPr>
        <w:t>c) a expedição de mandado de penhora e avaliação, seguindo-se os atos de expropriação, em caso de não pagamento tempestivo, além da determinação de protesto da decisão e da inclusão do nome do executado no cadastro de inadimplentes, conforme expressa autorização do art. 34, §§ 2º e 3º da Resolução TSE 23.709/2022.</w:t>
      </w:r>
      <w:r>
        <w:rPr>
          <w:sz w:val="24"/>
        </w:rPr>
      </w:r>
    </w:p>
    <w:p>
      <w:pPr>
        <w:pStyle w:val="para15"/>
        <w:ind w:firstLine="708"/>
        <w:spacing w:before="120"/>
        <w:jc w:val="both"/>
        <w:widowControl w:val="0"/>
        <w:rPr>
          <w:rFonts w:ascii="Cambria" w:hAnsi="Cambria" w:eastAsia="Cambria" w:cs="Cambria"/>
          <w:color w:val="000000"/>
          <w:sz w:val="24"/>
        </w:rPr>
      </w:pPr>
      <w:r>
        <w:rPr>
          <w:rFonts w:ascii="Cambria" w:hAnsi="Cambria" w:eastAsia="Cambria" w:cs="Cambria"/>
          <w:color w:val="000000"/>
          <w:sz w:val="24"/>
        </w:rPr>
      </w:r>
    </w:p>
    <w:p>
      <w:pPr>
        <w:pStyle w:val="para15"/>
        <w:ind w:firstLine="2835"/>
        <w:spacing w:before="120"/>
        <w:jc w:val="both"/>
        <w:widowControl w:val="0"/>
        <w:rPr>
          <w:rFonts w:ascii="Cambria" w:hAnsi="Cambria" w:eastAsia="Cambria" w:cs="Cambria"/>
          <w:color w:val="000000"/>
          <w:sz w:val="24"/>
        </w:rPr>
      </w:pPr>
      <w:r>
        <w:rPr>
          <w:rFonts w:ascii="Cambria" w:hAnsi="Cambria" w:eastAsia="Cambria" w:cs="Cambria"/>
          <w:color w:val="000000"/>
          <w:sz w:val="24"/>
        </w:rPr>
      </w:r>
    </w:p>
    <w:p>
      <w:pPr>
        <w:pStyle w:val="para15"/>
        <w:ind w:firstLine="1701"/>
        <w:spacing w:line="360" w:lineRule="auto"/>
        <w:jc w:val="both"/>
        <w:rPr>
          <w:sz w:val="24"/>
        </w:rPr>
      </w:pPr>
      <w:r>
        <w:rPr>
          <w:rFonts w:ascii="Cambria" w:hAnsi="Cambria" w:eastAsia="Cambria" w:cs="Cambria"/>
          <w:sz w:val="24"/>
        </w:rPr>
        <w:t>________/TO, ___ de _______ de 2023.</w:t>
      </w:r>
      <w:r>
        <w:rPr>
          <w:sz w:val="24"/>
        </w:rPr>
      </w:r>
    </w:p>
    <w:p>
      <w:pPr>
        <w:pStyle w:val="para15"/>
        <w:spacing w:line="360" w:lineRule="auto"/>
        <w:jc w:val="both"/>
        <w:rPr>
          <w:rFonts w:ascii="Cambria" w:hAnsi="Cambria" w:eastAsia="Cambria" w:cs="Cambria"/>
          <w:sz w:val="24"/>
        </w:rPr>
      </w:pPr>
      <w:r>
        <w:rPr>
          <w:rFonts w:ascii="Cambria" w:hAnsi="Cambria" w:eastAsia="Cambria" w:cs="Cambria"/>
          <w:sz w:val="24"/>
        </w:rPr>
      </w:r>
    </w:p>
    <w:p>
      <w:pPr>
        <w:pStyle w:val="para15"/>
        <w:spacing w:line="360" w:lineRule="auto"/>
        <w:jc w:val="center"/>
        <w:rPr>
          <w:sz w:val="24"/>
        </w:rPr>
      </w:pPr>
      <w:r>
        <w:rPr>
          <w:rFonts w:ascii="Cambria" w:hAnsi="Cambria" w:eastAsia="Cambria" w:cs="Cambria"/>
          <w:b/>
          <w:sz w:val="24"/>
        </w:rPr>
        <w:t>XXXX</w:t>
      </w:r>
      <w:r>
        <w:rPr>
          <w:sz w:val="24"/>
        </w:rPr>
      </w:r>
    </w:p>
    <w:p>
      <w:pPr>
        <w:pStyle w:val="para15"/>
        <w:spacing w:line="360" w:lineRule="auto"/>
        <w:jc w:val="center"/>
        <w:rPr>
          <w:sz w:val="24"/>
        </w:rPr>
      </w:pPr>
      <w:r>
        <w:rPr>
          <w:rFonts w:ascii="Cambria" w:hAnsi="Cambria" w:eastAsia="Cambria" w:cs="Cambria"/>
          <w:sz w:val="24"/>
        </w:rPr>
        <w:t>Promotor(a) Eleitoral</w:t>
      </w:r>
      <w:r>
        <w:rPr>
          <w:sz w:val="24"/>
        </w:rPr>
      </w:r>
    </w:p>
    <w:p>
      <w:pPr>
        <w:pStyle w:val="para15"/>
        <w:spacing w:before="120"/>
        <w:jc w:val="both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b/>
          <w:bCs/>
          <w:color w:val="000000"/>
          <w:sz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type w:val="nextPage"/>
      <w:pgSz w:h="16838" w:w="11906"/>
      <w:pgMar w:left="1701" w:top="3017" w:right="1134" w:bottom="851" w:header="1259" w:footer="0"/>
      <w:paperSrc w:first="0" w:other="0" a="0" b="0"/>
      <w:pgNumType w:fmt="decimal"/>
      <w:tmGutter w:val="3"/>
      <w:mirrorMargins w:val="0"/>
      <w:tmSection w:h="-2">
        <w:tmHeader w:id="0" w:h="0" edge="125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ourier New">
    <w:panose1 w:val="02070309020205020404"/>
    <w:charset w:val="00"/>
    <w:family w:val="roman"/>
    <w:pitch w:val="default"/>
  </w:font>
  <w:font w:name="Tahoma">
    <w:panose1 w:val="020B0604030504040204"/>
    <w:charset w:val="00"/>
    <w:family w:val="roman"/>
    <w:pitch w:val="default"/>
  </w:font>
  <w:font w:name="Cambria">
    <w:panose1 w:val="02040503050406030204"/>
    <w:charset w:val="00"/>
    <w:family w:val="roman"/>
    <w:pitch w:val="default"/>
  </w:font>
  <w:font w:name="NSimSun">
    <w:panose1 w:val="02010609030101010101"/>
    <w:charset w:val="00"/>
    <w:family w:val="modern"/>
    <w:pitch w:val="default"/>
  </w:font>
  <w:font w:name="Microsoft YaHei">
    <w:panose1 w:val="020B0503020204020204"/>
    <w:charset w:val="00"/>
    <w:family w:val="swiss"/>
    <w:pitch w:val="default"/>
  </w:font>
  <w:font w:name="Mangal">
    <w:panose1 w:val="020B0604020202020204"/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 w:line="360" w:lineRule="auto"/>
      <w:jc w:val="center"/>
      <w:hyphenationLines w:val="1"/>
    </w:pPr>
    <w:r>
      <w:rPr>
        <w:noProof/>
      </w:rPr>
      <w:drawing>
        <wp:inline distT="0" distB="0" distL="0" distR="0">
          <wp:extent cx="487680" cy="520065"/>
          <wp:effectExtent l="0" t="0" r="0" b="0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/>
                    <a:extLst>
                      <a:ext uri="smNativeData">
                        <sm:smNativeData xmlns:sm="smNativeData" val="SMDATA_16_5YrUZ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/P////z////8/////P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AAMAADMDAAAAAAAAAAAAAAAAAAAoAAAACAAAAAEAAAABAAAA"/>
                      </a:ext>
                    </a:extLst>
                  </pic:cNvPicPr>
                </pic:nvPicPr>
                <pic:blipFill>
                  <a:blip r:embed="rId1"/>
                  <a:srcRect l="-40" t="-40" r="-40" b="-40"/>
                  <a:stretch>
                    <a:fillRect/>
                  </a:stretch>
                </pic:blipFill>
                <pic:spPr>
                  <a:xfrm>
                    <a:off x="0" y="0"/>
                    <a:ext cx="487680" cy="5200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  <w:p>
    <w:pPr>
      <w:spacing/>
      <w:jc w:val="center"/>
      <w:hyphenationLines w:val="1"/>
      <w:rPr>
        <w:rFonts w:ascii="Arial" w:hAnsi="Arial" w:cs="Arial"/>
        <w:b/>
        <w:bCs/>
        <w:spacing w:val="8" w:percent="108"/>
        <w:sz w:val="20"/>
        <w:szCs w:val="20"/>
        <w:lang w:eastAsia="en-us"/>
      </w:rPr>
    </w:pPr>
    <w:r>
      <w:rPr>
        <w:rFonts w:ascii="Arial" w:hAnsi="Arial" w:cs="Arial"/>
        <w:b/>
        <w:bCs/>
        <w:spacing w:val="8" w:percent="108"/>
        <w:sz w:val="20"/>
        <w:szCs w:val="20"/>
        <w:lang w:eastAsia="en-us"/>
      </w:rPr>
      <w:t>MINISTÉRIO PÚBLICO ELEITORAL</w:t>
    </w:r>
  </w:p>
  <w:p>
    <w:pPr>
      <w:spacing/>
      <w:jc w:val="center"/>
      <w:hyphenationLines w:val="1"/>
      <w:rPr>
        <w:rFonts w:ascii="Arial" w:hAnsi="Arial" w:cs="Arial"/>
        <w:b/>
        <w:bCs/>
        <w:sz w:val="20"/>
        <w:szCs w:val="20"/>
        <w:lang w:eastAsia="en-us"/>
      </w:rPr>
    </w:pPr>
    <w:r>
      <w:rPr>
        <w:rFonts w:ascii="Arial" w:hAnsi="Arial" w:cs="Arial"/>
        <w:b/>
        <w:bCs/>
        <w:sz w:val="20"/>
        <w:szCs w:val="20"/>
        <w:lang w:eastAsia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none"/>
      <w:pStyle w:val="para1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view w:val="print"/>
  <w:defaultTabStop w:val="708"/>
  <w:autoHyphenation w:val="1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50"/>
      <w:tmLastPosIdx w:val="35"/>
    </w:tmLastPosCaret>
    <w:tmLastPosAnchor>
      <w:tmLastPosPgfIdx w:val="0"/>
      <w:tmLastPosIdx w:val="0"/>
    </w:tmLastPosAnchor>
    <w:tmLastPosTblRect w:left="0" w:top="0" w:right="0" w:bottom="0"/>
  </w:tmLastPos>
  <w:tmAppRevision w:date="1741982437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NSimSun" w:cs="Arial"/>
        <w:sz w:val="20"/>
        <w:szCs w:val="24"/>
        <w:lang w:val="pt-br" w:eastAsia="zh-cn" w:bidi="hi-in"/>
      </w:rPr>
    </w:rPrDefault>
    <w:pPrDefault>
      <w:pPr>
        <w:spacing w:line="100" w:lineRule="atLeast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 w:cs="Times New Roman"/>
      <w:color w:val="00000a"/>
      <w:kern w:val="1"/>
      <w:sz w:val="24"/>
      <w:lang w:bidi="ar-sa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/>
      <w:jc w:val="center"/>
      <w:keepNext/>
      <w:outlineLvl w:val="0"/>
    </w:pPr>
    <w:rPr>
      <w:b/>
      <w:bCs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Arial" w:hAnsi="Arial" w:eastAsia="Microsoft YaHei" w:cs="Mangal"/>
      <w:sz w:val="28"/>
      <w:szCs w:val="28"/>
    </w:rPr>
  </w:style>
  <w:style w:type="paragraph" w:styleId="para3">
    <w:name w:val="Body Text"/>
    <w:qFormat/>
    <w:basedOn w:val="para0"/>
    <w:pPr>
      <w:spacing w:after="120"/>
    </w:pPr>
  </w:style>
  <w:style w:type="paragraph" w:styleId="para4">
    <w:name w:val="List"/>
    <w:qFormat/>
    <w:basedOn w:val="para3"/>
    <w:rPr>
      <w:rFonts w:cs="Mangal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6" w:customStyle="1">
    <w:name w:val="Índice"/>
    <w:qFormat/>
    <w:basedOn w:val="para0"/>
    <w:pPr>
      <w:suppressLineNumbers/>
    </w:pPr>
    <w:rPr>
      <w:rFonts w:cs="Mangal"/>
    </w:rPr>
  </w:style>
  <w:style w:type="paragraph" w:styleId="para7" w:customStyle="1">
    <w:name w:val="Cabeçalho e Rodapé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8">
    <w:name w:val="Footer"/>
    <w:qFormat/>
    <w:basedOn w:val="para0"/>
    <w:pPr>
      <w:tabs defTabSz="708">
        <w:tab w:val="center" w:pos="4419" w:leader="none"/>
        <w:tab w:val="right" w:pos="8838" w:leader="none"/>
      </w:tabs>
    </w:pPr>
  </w:style>
  <w:style w:type="paragraph" w:styleId="para9">
    <w:name w:val="Body Text Indent"/>
    <w:qFormat/>
    <w:basedOn w:val="para0"/>
    <w:pPr>
      <w:ind w:left="1701"/>
      <w:spacing/>
      <w:jc w:val="both"/>
    </w:pPr>
    <w:rPr>
      <w:rFonts w:ascii="Courier New" w:hAnsi="Courier New" w:cs="Courier New"/>
      <w:sz w:val="28"/>
      <w:szCs w:val="28"/>
    </w:rPr>
  </w:style>
  <w:style w:type="paragraph" w:styleId="para10" w:customStyle="1">
    <w:name w:val="Corpo de texto 21"/>
    <w:qFormat/>
    <w:basedOn w:val="para0"/>
    <w:pPr>
      <w:spacing/>
      <w:jc w:val="center"/>
    </w:pPr>
    <w:rPr>
      <w:rFonts w:ascii="Courier New" w:hAnsi="Courier New" w:cs="Courier New"/>
      <w:b/>
      <w:sz w:val="26"/>
    </w:rPr>
  </w:style>
  <w:style w:type="paragraph" w:styleId="para11">
    <w:name w:val="Normal (Web)"/>
    <w:qFormat/>
    <w:basedOn w:val="para0"/>
    <w:pPr>
      <w:spacing w:before="28" w:after="28"/>
      <w:hyphenationLines w:val="1"/>
    </w:pPr>
    <w:rPr>
      <w:lang w:eastAsia="pt-br"/>
    </w:rPr>
  </w:style>
  <w:style w:type="paragraph" w:styleId="para12">
    <w:name w:val="Footnote Text"/>
    <w:qFormat/>
    <w:basedOn w:val="para0"/>
    <w:pPr>
      <w:ind w:left="340" w:hanging="340"/>
      <w:suppressLineNumbers/>
    </w:pPr>
    <w:rPr>
      <w:sz w:val="20"/>
      <w:szCs w:val="20"/>
    </w:rPr>
  </w:style>
  <w:style w:type="paragraph" w:styleId="para13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4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15" w:customStyle="1">
    <w:name w:val="LO-normal"/>
    <w:qFormat/>
    <w:pPr>
      <w:spacing w:line="240" w:lineRule="auto"/>
    </w:pPr>
    <w:rPr>
      <w:rFonts w:eastAsia="NSimSun" w:cs="Arial"/>
      <w:kern w:val="1"/>
      <w:szCs w:val="24"/>
      <w:lang w:val="pt-br" w:eastAsia="zh-cn" w:bidi="hi-in"/>
    </w:rPr>
  </w:style>
  <w:style w:type="character" w:styleId="char0" w:default="1">
    <w:name w:val="Default Paragraph Font"/>
  </w:style>
  <w:style w:type="character" w:styleId="char1" w:customStyle="1">
    <w:name w:val="Rodapé Char"/>
    <w:basedOn w:val="char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2" w:customStyle="1">
    <w:name w:val="Recuo de corpo de texto Char"/>
    <w:basedOn w:val="char0"/>
    <w:rPr>
      <w:rFonts w:ascii="Courier New" w:hAnsi="Courier New" w:eastAsia="Times New Roman" w:cs="Courier New"/>
      <w:sz w:val="28"/>
      <w:szCs w:val="28"/>
      <w:lang w:eastAsia="zh-cn"/>
    </w:rPr>
  </w:style>
  <w:style w:type="character" w:styleId="char3" w:customStyle="1">
    <w:name w:val="apple-converted-space"/>
    <w:basedOn w:val="char0"/>
  </w:style>
  <w:style w:type="character" w:styleId="char4" w:customStyle="1">
    <w:name w:val="Link da Internet"/>
    <w:basedOn w:val="char0"/>
    <w:rPr>
      <w:color w:val="0000ff"/>
      <w:u w:color="auto" w:val="single"/>
      <w:noProof w:val="1"/>
    </w:rPr>
  </w:style>
  <w:style w:type="character" w:styleId="char5" w:customStyle="1">
    <w:name w:val="Texto de nota de rodapé Char"/>
    <w:basedOn w:val="char0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char6" w:customStyle="1">
    <w:name w:val="Âncora da nota de rodapé"/>
    <w:rPr>
      <w:vertAlign w:val="superscript"/>
    </w:rPr>
  </w:style>
  <w:style w:type="character" w:styleId="char7" w:customStyle="1">
    <w:name w:val="Fonte parág. padrão1"/>
  </w:style>
  <w:style w:type="character" w:styleId="char8" w:customStyle="1">
    <w:name w:val="Footnote Characters"/>
    <w:basedOn w:val="char7"/>
    <w:rPr>
      <w:vertAlign w:val="superscript"/>
    </w:rPr>
  </w:style>
  <w:style w:type="character" w:styleId="char9" w:customStyle="1">
    <w:name w:val="Ênfase forte"/>
    <w:basedOn w:val="char0"/>
    <w:rPr>
      <w:b/>
      <w:bCs/>
    </w:rPr>
  </w:style>
  <w:style w:type="character" w:styleId="char10" w:customStyle="1">
    <w:name w:val="url"/>
    <w:basedOn w:val="char0"/>
  </w:style>
  <w:style w:type="character" w:styleId="char11" w:customStyle="1">
    <w:name w:val="hit"/>
    <w:basedOn w:val="char0"/>
  </w:style>
  <w:style w:type="character" w:styleId="char12" w:customStyle="1">
    <w:name w:val="Texto de balão Char"/>
    <w:basedOn w:val="char0"/>
    <w:rPr>
      <w:rFonts w:ascii="Tahoma" w:hAnsi="Tahoma" w:eastAsia="Times New Roman" w:cs="Tahoma"/>
      <w:sz w:val="16"/>
      <w:szCs w:val="16"/>
      <w:lang w:eastAsia="zh-cn"/>
    </w:rPr>
  </w:style>
  <w:style w:type="character" w:styleId="char13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14">
    <w:name w:val="Emphasis"/>
    <w:basedOn w:val="char0"/>
    <w:rPr>
      <w:i/>
      <w:iCs/>
    </w:rPr>
  </w:style>
  <w:style w:type="character" w:styleId="char15" w:customStyle="1">
    <w:name w:val="Footnote Anchor"/>
    <w:rPr>
      <w:vertAlign w:val="superscript"/>
    </w:rPr>
  </w:style>
  <w:style w:type="character" w:styleId="char16" w:customStyle="1">
    <w:name w:val="Endnote Anchor"/>
    <w:rPr>
      <w:vertAlign w:val="superscript"/>
    </w:rPr>
  </w:style>
  <w:style w:type="character" w:styleId="char17" w:customStyle="1">
    <w:name w:val="Endnote Characters"/>
  </w:style>
  <w:style w:type="character" w:styleId="char18" w:customStyle="1">
    <w:name w:val="Caracteres de nota de rodapé"/>
  </w:style>
  <w:style w:type="character" w:styleId="char19" w:customStyle="1">
    <w:name w:val="Âncora da nota de fim"/>
    <w:rPr>
      <w:vertAlign w:val="superscript"/>
    </w:rPr>
  </w:style>
  <w:style w:type="character" w:styleId="char20" w:customStyle="1">
    <w:name w:val="Caracteres de nota de fim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NSimSun" w:cs="Arial"/>
        <w:sz w:val="20"/>
        <w:szCs w:val="24"/>
        <w:lang w:val="pt-br" w:eastAsia="zh-cn" w:bidi="hi-in"/>
      </w:rPr>
    </w:rPrDefault>
    <w:pPrDefault>
      <w:pPr>
        <w:spacing w:line="100" w:lineRule="atLeast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 w:cs="Times New Roman"/>
      <w:color w:val="00000a"/>
      <w:kern w:val="1"/>
      <w:sz w:val="24"/>
      <w:lang w:bidi="ar-sa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/>
      <w:jc w:val="center"/>
      <w:keepNext/>
      <w:outlineLvl w:val="0"/>
    </w:pPr>
    <w:rPr>
      <w:b/>
      <w:bCs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Arial" w:hAnsi="Arial" w:eastAsia="Microsoft YaHei" w:cs="Mangal"/>
      <w:sz w:val="28"/>
      <w:szCs w:val="28"/>
    </w:rPr>
  </w:style>
  <w:style w:type="paragraph" w:styleId="para3">
    <w:name w:val="Body Text"/>
    <w:qFormat/>
    <w:basedOn w:val="para0"/>
    <w:pPr>
      <w:spacing w:after="120"/>
    </w:pPr>
  </w:style>
  <w:style w:type="paragraph" w:styleId="para4">
    <w:name w:val="List"/>
    <w:qFormat/>
    <w:basedOn w:val="para3"/>
    <w:rPr>
      <w:rFonts w:cs="Mangal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6" w:customStyle="1">
    <w:name w:val="Índice"/>
    <w:qFormat/>
    <w:basedOn w:val="para0"/>
    <w:pPr>
      <w:suppressLineNumbers/>
    </w:pPr>
    <w:rPr>
      <w:rFonts w:cs="Mangal"/>
    </w:rPr>
  </w:style>
  <w:style w:type="paragraph" w:styleId="para7" w:customStyle="1">
    <w:name w:val="Cabeçalho e Rodapé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8">
    <w:name w:val="Footer"/>
    <w:qFormat/>
    <w:basedOn w:val="para0"/>
    <w:pPr>
      <w:tabs defTabSz="708">
        <w:tab w:val="center" w:pos="4419" w:leader="none"/>
        <w:tab w:val="right" w:pos="8838" w:leader="none"/>
      </w:tabs>
    </w:pPr>
  </w:style>
  <w:style w:type="paragraph" w:styleId="para9">
    <w:name w:val="Body Text Indent"/>
    <w:qFormat/>
    <w:basedOn w:val="para0"/>
    <w:pPr>
      <w:ind w:left="1701"/>
      <w:spacing/>
      <w:jc w:val="both"/>
    </w:pPr>
    <w:rPr>
      <w:rFonts w:ascii="Courier New" w:hAnsi="Courier New" w:cs="Courier New"/>
      <w:sz w:val="28"/>
      <w:szCs w:val="28"/>
    </w:rPr>
  </w:style>
  <w:style w:type="paragraph" w:styleId="para10" w:customStyle="1">
    <w:name w:val="Corpo de texto 21"/>
    <w:qFormat/>
    <w:basedOn w:val="para0"/>
    <w:pPr>
      <w:spacing/>
      <w:jc w:val="center"/>
    </w:pPr>
    <w:rPr>
      <w:rFonts w:ascii="Courier New" w:hAnsi="Courier New" w:cs="Courier New"/>
      <w:b/>
      <w:sz w:val="26"/>
    </w:rPr>
  </w:style>
  <w:style w:type="paragraph" w:styleId="para11">
    <w:name w:val="Normal (Web)"/>
    <w:qFormat/>
    <w:basedOn w:val="para0"/>
    <w:pPr>
      <w:spacing w:before="28" w:after="28"/>
      <w:hyphenationLines w:val="1"/>
    </w:pPr>
    <w:rPr>
      <w:lang w:eastAsia="pt-br"/>
    </w:rPr>
  </w:style>
  <w:style w:type="paragraph" w:styleId="para12">
    <w:name w:val="Footnote Text"/>
    <w:qFormat/>
    <w:basedOn w:val="para0"/>
    <w:pPr>
      <w:ind w:left="340" w:hanging="340"/>
      <w:suppressLineNumbers/>
    </w:pPr>
    <w:rPr>
      <w:sz w:val="20"/>
      <w:szCs w:val="20"/>
    </w:rPr>
  </w:style>
  <w:style w:type="paragraph" w:styleId="para13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4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15" w:customStyle="1">
    <w:name w:val="LO-normal"/>
    <w:qFormat/>
    <w:pPr>
      <w:spacing w:line="240" w:lineRule="auto"/>
    </w:pPr>
    <w:rPr>
      <w:rFonts w:eastAsia="NSimSun" w:cs="Arial"/>
      <w:kern w:val="1"/>
      <w:szCs w:val="24"/>
      <w:lang w:val="pt-br" w:eastAsia="zh-cn" w:bidi="hi-in"/>
    </w:rPr>
  </w:style>
  <w:style w:type="character" w:styleId="char0" w:default="1">
    <w:name w:val="Default Paragraph Font"/>
  </w:style>
  <w:style w:type="character" w:styleId="char1" w:customStyle="1">
    <w:name w:val="Rodapé Char"/>
    <w:basedOn w:val="char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2" w:customStyle="1">
    <w:name w:val="Recuo de corpo de texto Char"/>
    <w:basedOn w:val="char0"/>
    <w:rPr>
      <w:rFonts w:ascii="Courier New" w:hAnsi="Courier New" w:eastAsia="Times New Roman" w:cs="Courier New"/>
      <w:sz w:val="28"/>
      <w:szCs w:val="28"/>
      <w:lang w:eastAsia="zh-cn"/>
    </w:rPr>
  </w:style>
  <w:style w:type="character" w:styleId="char3" w:customStyle="1">
    <w:name w:val="apple-converted-space"/>
    <w:basedOn w:val="char0"/>
  </w:style>
  <w:style w:type="character" w:styleId="char4" w:customStyle="1">
    <w:name w:val="Link da Internet"/>
    <w:basedOn w:val="char0"/>
    <w:rPr>
      <w:color w:val="0000ff"/>
      <w:u w:color="auto" w:val="single"/>
      <w:noProof w:val="1"/>
    </w:rPr>
  </w:style>
  <w:style w:type="character" w:styleId="char5" w:customStyle="1">
    <w:name w:val="Texto de nota de rodapé Char"/>
    <w:basedOn w:val="char0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char6" w:customStyle="1">
    <w:name w:val="Âncora da nota de rodapé"/>
    <w:rPr>
      <w:vertAlign w:val="superscript"/>
    </w:rPr>
  </w:style>
  <w:style w:type="character" w:styleId="char7" w:customStyle="1">
    <w:name w:val="Fonte parág. padrão1"/>
  </w:style>
  <w:style w:type="character" w:styleId="char8" w:customStyle="1">
    <w:name w:val="Footnote Characters"/>
    <w:basedOn w:val="char7"/>
    <w:rPr>
      <w:vertAlign w:val="superscript"/>
    </w:rPr>
  </w:style>
  <w:style w:type="character" w:styleId="char9" w:customStyle="1">
    <w:name w:val="Ênfase forte"/>
    <w:basedOn w:val="char0"/>
    <w:rPr>
      <w:b/>
      <w:bCs/>
    </w:rPr>
  </w:style>
  <w:style w:type="character" w:styleId="char10" w:customStyle="1">
    <w:name w:val="url"/>
    <w:basedOn w:val="char0"/>
  </w:style>
  <w:style w:type="character" w:styleId="char11" w:customStyle="1">
    <w:name w:val="hit"/>
    <w:basedOn w:val="char0"/>
  </w:style>
  <w:style w:type="character" w:styleId="char12" w:customStyle="1">
    <w:name w:val="Texto de balão Char"/>
    <w:basedOn w:val="char0"/>
    <w:rPr>
      <w:rFonts w:ascii="Tahoma" w:hAnsi="Tahoma" w:eastAsia="Times New Roman" w:cs="Tahoma"/>
      <w:sz w:val="16"/>
      <w:szCs w:val="16"/>
      <w:lang w:eastAsia="zh-cn"/>
    </w:rPr>
  </w:style>
  <w:style w:type="character" w:styleId="char13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14">
    <w:name w:val="Emphasis"/>
    <w:basedOn w:val="char0"/>
    <w:rPr>
      <w:i/>
      <w:iCs/>
    </w:rPr>
  </w:style>
  <w:style w:type="character" w:styleId="char15" w:customStyle="1">
    <w:name w:val="Footnote Anchor"/>
    <w:rPr>
      <w:vertAlign w:val="superscript"/>
    </w:rPr>
  </w:style>
  <w:style w:type="character" w:styleId="char16" w:customStyle="1">
    <w:name w:val="Endnote Anchor"/>
    <w:rPr>
      <w:vertAlign w:val="superscript"/>
    </w:rPr>
  </w:style>
  <w:style w:type="character" w:styleId="char17" w:customStyle="1">
    <w:name w:val="Endnote Characters"/>
  </w:style>
  <w:style w:type="character" w:styleId="char18" w:customStyle="1">
    <w:name w:val="Caracteres de nota de rodapé"/>
  </w:style>
  <w:style w:type="character" w:styleId="char19" w:customStyle="1">
    <w:name w:val="Âncora da nota de fim"/>
    <w:rPr>
      <w:vertAlign w:val="superscript"/>
    </w:rPr>
  </w:style>
  <w:style w:type="character" w:styleId="char20" w:customStyle="1">
    <w:name w:val="Caracteres de nota de fim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2023-06-06T13:03:53Z</dcterms:created>
  <dcterms:modified xsi:type="dcterms:W3CDTF">2025-03-14T20:00:37Z</dcterms:modified>
</cp:coreProperties>
</file>