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EXCELENTÍSSIMO SENHOR JUIZ DA 9ª ZONA ELEITORAL/TO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Autos nº 0600121-24.2022.6.27.0009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PÚBLICO ELEITORAL</w:t>
      </w:r>
      <w:r w:rsidDel="00000000" w:rsidR="00000000" w:rsidRPr="00000000">
        <w:rPr>
          <w:rFonts w:ascii="Arial" w:cs="Arial" w:eastAsia="Arial" w:hAnsi="Arial"/>
          <w:rtl w:val="0"/>
        </w:rPr>
        <w:t xml:space="preserve">, pelo membro que abaixo subscreve, vem, à presença de Vossa Excelência, com fulcro nos arts. 265 do Código Eleitoral, combinado com 30, § 5º da Lei 9.504/1997 e 85 da Resolução TSE 23.607/2019, interpor</w:t>
      </w:r>
    </w:p>
    <w:p w:rsidR="00000000" w:rsidDel="00000000" w:rsidP="00000000" w:rsidRDefault="00000000" w:rsidRPr="00000000" w14:paraId="00000009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RECURSO ORDINÁRIO ELEITORAL</w:t>
      </w:r>
    </w:p>
    <w:p w:rsidR="00000000" w:rsidDel="00000000" w:rsidP="00000000" w:rsidRDefault="00000000" w:rsidRPr="00000000" w14:paraId="0000000B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983"/>
        </w:tabs>
        <w:spacing w:after="57" w:before="57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 egrégio Tribunal Regional Eleitoral do Estado do Tocantins, pelo que anexa as subsequentes razões recursais.</w:t>
      </w:r>
    </w:p>
    <w:p w:rsidR="00000000" w:rsidDel="00000000" w:rsidP="00000000" w:rsidRDefault="00000000" w:rsidRPr="00000000" w14:paraId="0000000D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Requer, nos termos do art. 267 do Código Eleitoral, seja o presente recebido e, não havendo juízo de retratação, sejam os autos submetidos à superior instância.</w:t>
      </w:r>
    </w:p>
    <w:p w:rsidR="00000000" w:rsidDel="00000000" w:rsidP="00000000" w:rsidRDefault="00000000" w:rsidRPr="00000000" w14:paraId="0000000E">
      <w:pPr>
        <w:tabs>
          <w:tab w:val="left" w:leader="none" w:pos="2983"/>
        </w:tabs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Tocantinópolis/TO, 07 de maio de 2024.</w:t>
      </w:r>
    </w:p>
    <w:p w:rsidR="00000000" w:rsidDel="00000000" w:rsidP="00000000" w:rsidRDefault="00000000" w:rsidRPr="00000000" w14:paraId="00000010">
      <w:pPr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57" w:before="57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Célem Guimarães Guerra Júnior</w:t>
      </w:r>
    </w:p>
    <w:p w:rsidR="00000000" w:rsidDel="00000000" w:rsidP="00000000" w:rsidRDefault="00000000" w:rsidRPr="00000000" w14:paraId="00000012">
      <w:pPr>
        <w:tabs>
          <w:tab w:val="left" w:leader="none" w:pos="1866"/>
          <w:tab w:val="left" w:leader="none" w:pos="2972"/>
        </w:tabs>
        <w:spacing w:after="57" w:before="57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Promotor Eleitoral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66"/>
          <w:tab w:val="left" w:leader="none" w:pos="2972"/>
        </w:tabs>
        <w:spacing w:after="57" w:before="57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Recorrente: Ministério Público Eleitoral</w:t>
      </w:r>
    </w:p>
    <w:p w:rsidR="00000000" w:rsidDel="00000000" w:rsidP="00000000" w:rsidRDefault="00000000" w:rsidRPr="00000000" w14:paraId="00000014">
      <w:pPr>
        <w:tabs>
          <w:tab w:val="left" w:leader="none" w:pos="1866"/>
          <w:tab w:val="left" w:leader="none" w:pos="2972"/>
        </w:tabs>
        <w:spacing w:after="57" w:before="57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Recorrido: Partido Social Cristão (PSC) - Tocantinópolis/TO</w:t>
      </w:r>
    </w:p>
    <w:p w:rsidR="00000000" w:rsidDel="00000000" w:rsidP="00000000" w:rsidRDefault="00000000" w:rsidRPr="00000000" w14:paraId="00000015">
      <w:pPr>
        <w:tabs>
          <w:tab w:val="left" w:leader="none" w:pos="1866"/>
          <w:tab w:val="left" w:leader="none" w:pos="2972"/>
        </w:tabs>
        <w:spacing w:after="57" w:before="57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866"/>
          <w:tab w:val="left" w:leader="none" w:pos="2972"/>
        </w:tabs>
        <w:spacing w:after="57" w:before="57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866"/>
          <w:tab w:val="left" w:leader="none" w:pos="2972"/>
        </w:tabs>
        <w:spacing w:after="57" w:before="57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Egrégio Tribunal,</w:t>
      </w:r>
    </w:p>
    <w:p w:rsidR="00000000" w:rsidDel="00000000" w:rsidP="00000000" w:rsidRDefault="00000000" w:rsidRPr="00000000" w14:paraId="00000018">
      <w:pPr>
        <w:tabs>
          <w:tab w:val="left" w:leader="none" w:pos="1866"/>
          <w:tab w:val="left" w:leader="none" w:pos="2972"/>
        </w:tabs>
        <w:spacing w:after="57" w:before="57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Nobre Relator,</w:t>
      </w:r>
    </w:p>
    <w:p w:rsidR="00000000" w:rsidDel="00000000" w:rsidP="00000000" w:rsidRDefault="00000000" w:rsidRPr="00000000" w14:paraId="00000019">
      <w:pPr>
        <w:tabs>
          <w:tab w:val="left" w:leader="none" w:pos="1866"/>
          <w:tab w:val="left" w:leader="none" w:pos="2972"/>
        </w:tabs>
        <w:spacing w:after="57" w:before="57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Douto Procurador Regional Eleitoral,</w:t>
      </w:r>
    </w:p>
    <w:p w:rsidR="00000000" w:rsidDel="00000000" w:rsidP="00000000" w:rsidRDefault="00000000" w:rsidRPr="00000000" w14:paraId="0000001A">
      <w:pPr>
        <w:tabs>
          <w:tab w:val="left" w:leader="none" w:pos="1866"/>
          <w:tab w:val="left" w:leader="none" w:pos="2972"/>
        </w:tabs>
        <w:spacing w:after="57" w:before="57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TEMPESTIVIDADE</w:t>
      </w:r>
    </w:p>
    <w:p w:rsidR="00000000" w:rsidDel="00000000" w:rsidP="00000000" w:rsidRDefault="00000000" w:rsidRPr="00000000" w14:paraId="0000001D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decisão recorrida foi proferida em 30/04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rtl w:val="0"/>
        </w:rPr>
        <w:t xml:space="preserve">2024 (ID 122202208). Em face dela foram opostos embargos de declaração, conhecidos e não providos (IDs 122203617 e 122204300, respectivamente). Antes mesmo do início do prazo, o presente recurso é interposto.</w:t>
      </w:r>
    </w:p>
    <w:p w:rsidR="00000000" w:rsidDel="00000000" w:rsidP="00000000" w:rsidRDefault="00000000" w:rsidRPr="00000000" w14:paraId="0000001E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DECISÃO RECORRIDA</w:t>
      </w:r>
    </w:p>
    <w:p w:rsidR="00000000" w:rsidDel="00000000" w:rsidP="00000000" w:rsidRDefault="00000000" w:rsidRPr="00000000" w14:paraId="00000020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Após manifestação ministerial (ID 122202199) pela desaprovação das contas, o</w:t>
      </w:r>
      <w:r w:rsidDel="00000000" w:rsidR="00000000" w:rsidRPr="00000000">
        <w:rPr>
          <w:rFonts w:ascii="Arial" w:cs="Arial" w:eastAsia="Arial" w:hAnsi="Arial"/>
          <w:rtl w:val="0"/>
        </w:rPr>
        <w:t xml:space="preserve"> juízo eleitoral, ao analisar a prestação de contas referente às eleições gerais de 2022 do Partido Social Cristão (PSC) de Tocantinópolis/TO, proferiu decisão de aprovação das contas (ID 122202208), ao fundamento de que, em suma, foram juntadas todas as peças obrigatórias, referente ao período de campanha. </w:t>
      </w:r>
    </w:p>
    <w:p w:rsidR="00000000" w:rsidDel="00000000" w:rsidP="00000000" w:rsidRDefault="00000000" w:rsidRPr="00000000" w14:paraId="00000021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juízo destacou a desnecessidade de intimação do partido e que o extrato bancário seria suprido pelo relatório do SPCE. Não </w:t>
      </w:r>
      <w:r w:rsidDel="00000000" w:rsidR="00000000" w:rsidRPr="00000000">
        <w:rPr>
          <w:rFonts w:ascii="Arial" w:cs="Arial" w:eastAsia="Arial" w:hAnsi="Arial"/>
          <w:rtl w:val="0"/>
        </w:rPr>
        <w:t xml:space="preserve">valorou</w:t>
      </w:r>
      <w:r w:rsidDel="00000000" w:rsidR="00000000" w:rsidRPr="00000000">
        <w:rPr>
          <w:rFonts w:ascii="Arial" w:cs="Arial" w:eastAsia="Arial" w:hAnsi="Arial"/>
          <w:rtl w:val="0"/>
        </w:rPr>
        <w:t xml:space="preserve"> a intempestividade, motivo dos embargos de declaração improvidos, por entender que não haveria diferença entre contas aprovadas e aprovadas com ressalvas (ID 122204300).</w:t>
      </w:r>
    </w:p>
    <w:p w:rsidR="00000000" w:rsidDel="00000000" w:rsidP="00000000" w:rsidRDefault="00000000" w:rsidRPr="00000000" w14:paraId="00000022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RAZÕES DE REFORMA</w:t>
      </w:r>
    </w:p>
    <w:p w:rsidR="00000000" w:rsidDel="00000000" w:rsidP="00000000" w:rsidRDefault="00000000" w:rsidRPr="00000000" w14:paraId="00000024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atuou com acerto </w:t>
      </w:r>
      <w:r w:rsidDel="00000000" w:rsidR="00000000" w:rsidRPr="00000000">
        <w:rPr>
          <w:rFonts w:ascii="Arial" w:cs="Arial" w:eastAsia="Arial" w:hAnsi="Arial"/>
          <w:rtl w:val="0"/>
        </w:rPr>
        <w:t xml:space="preserve">costumeiro o juízo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5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São, em suma, quatro as causas de invalidação ou reforma da sentença:</w:t>
      </w:r>
    </w:p>
    <w:p w:rsidR="00000000" w:rsidDel="00000000" w:rsidP="00000000" w:rsidRDefault="00000000" w:rsidRPr="00000000" w14:paraId="00000027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não realização de diligências obrigatórias de acordo com a Resolução TSE 23.607/2019;</w:t>
      </w:r>
    </w:p>
    <w:p w:rsidR="00000000" w:rsidDel="00000000" w:rsidP="00000000" w:rsidRDefault="00000000" w:rsidRPr="00000000" w14:paraId="00000028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ausência de apresentação de extratos bancário do período;</w:t>
      </w:r>
    </w:p>
    <w:p w:rsidR="00000000" w:rsidDel="00000000" w:rsidP="00000000" w:rsidRDefault="00000000" w:rsidRPr="00000000" w14:paraId="00000029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indícios de não abertura de conta de campanha;</w:t>
      </w:r>
    </w:p>
    <w:p w:rsidR="00000000" w:rsidDel="00000000" w:rsidP="00000000" w:rsidRDefault="00000000" w:rsidRPr="00000000" w14:paraId="0000002A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intempestividade na entrega de documentação exigida.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2C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 Não oportunização de realização de diligências pelo partido</w:t>
      </w:r>
    </w:p>
    <w:p w:rsidR="00000000" w:rsidDel="00000000" w:rsidP="00000000" w:rsidRDefault="00000000" w:rsidRPr="00000000" w14:paraId="0000002D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presente equívoco é muito grave. Obsta o contraditório real e a ampla defesa, restringindo a possibilidade de o órgão partidário retificar e complementar as contas a partir dos apontamentos verificados nas análises prévias.</w:t>
      </w:r>
    </w:p>
    <w:p w:rsidR="00000000" w:rsidDel="00000000" w:rsidP="00000000" w:rsidRDefault="00000000" w:rsidRPr="00000000" w14:paraId="0000002E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Ainda que o juízo possa saber, de antemão, seu posicionamento, em eventual recurso há sempre a possibilidade de reforma da decisão, sem que ao partido se tenha oportunizado a correção de vícios apontados na manifestação ministerial (ID 122202199).</w:t>
      </w:r>
    </w:p>
    <w:p w:rsidR="00000000" w:rsidDel="00000000" w:rsidP="00000000" w:rsidRDefault="00000000" w:rsidRPr="00000000" w14:paraId="0000002F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Dispõe o art. 67 da resolução de regência, supracitada:</w:t>
      </w:r>
    </w:p>
    <w:p w:rsidR="00000000" w:rsidDel="00000000" w:rsidP="00000000" w:rsidRDefault="00000000" w:rsidRPr="00000000" w14:paraId="00000030">
      <w:pPr>
        <w:tabs>
          <w:tab w:val="left" w:leader="none" w:pos="1866"/>
          <w:tab w:val="left" w:leader="none" w:pos="2972"/>
        </w:tabs>
        <w:spacing w:after="57" w:before="57" w:line="360" w:lineRule="auto"/>
        <w:ind w:left="2267.716535433071" w:firstLine="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Art. 67. As contas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serão julgadas sem a realização de diligências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, desde que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verificadas, cumulativamente, as seguintes hipóteses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31">
      <w:pPr>
        <w:tabs>
          <w:tab w:val="left" w:leader="none" w:pos="1866"/>
          <w:tab w:val="left" w:leader="none" w:pos="2972"/>
        </w:tabs>
        <w:spacing w:after="57" w:before="57" w:line="360" w:lineRule="auto"/>
        <w:ind w:left="2267.716535433071" w:firstLine="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I - inexistência de impugnação;</w:t>
      </w:r>
    </w:p>
    <w:p w:rsidR="00000000" w:rsidDel="00000000" w:rsidP="00000000" w:rsidRDefault="00000000" w:rsidRPr="00000000" w14:paraId="00000032">
      <w:pPr>
        <w:tabs>
          <w:tab w:val="left" w:leader="none" w:pos="1866"/>
          <w:tab w:val="left" w:leader="none" w:pos="2972"/>
        </w:tabs>
        <w:spacing w:after="57" w:before="57" w:line="360" w:lineRule="auto"/>
        <w:ind w:left="2267.716535433071" w:firstLine="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II - emissão de parecer conclusivo pela unidade técnica nos tribunais, ou pela(o) chefe de cartório nas zonas eleitorais, sem identificação de nenhuma das irregularidades previstas nos incisos I a V do art. 65;</w:t>
      </w:r>
    </w:p>
    <w:p w:rsidR="00000000" w:rsidDel="00000000" w:rsidP="00000000" w:rsidRDefault="00000000" w:rsidRPr="00000000" w14:paraId="00000033">
      <w:pPr>
        <w:tabs>
          <w:tab w:val="left" w:leader="none" w:pos="1866"/>
          <w:tab w:val="left" w:leader="none" w:pos="2972"/>
        </w:tabs>
        <w:spacing w:after="57" w:before="57" w:line="360" w:lineRule="auto"/>
        <w:ind w:left="2267.716535433071" w:firstLine="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III -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parecer favorável do Ministério Público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Ora, ínclitos julgadores, não se verificaram cumulativamente as hipóteses: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parecer</w:t>
      </w:r>
      <w:r w:rsidDel="00000000" w:rsidR="00000000" w:rsidRPr="00000000">
        <w:rPr>
          <w:rFonts w:ascii="Arial" w:cs="Arial" w:eastAsia="Arial" w:hAnsi="Arial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Público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desfavorável</w:t>
      </w:r>
      <w:r w:rsidDel="00000000" w:rsidR="00000000" w:rsidRPr="00000000">
        <w:rPr>
          <w:rFonts w:ascii="Arial" w:cs="Arial" w:eastAsia="Arial" w:hAnsi="Arial"/>
          <w:rtl w:val="0"/>
        </w:rPr>
        <w:t xml:space="preserve"> (ID 122202199). Assim, a realização de diligências antes da sentença era vinculante.</w:t>
      </w:r>
    </w:p>
    <w:p w:rsidR="00000000" w:rsidDel="00000000" w:rsidP="00000000" w:rsidRDefault="00000000" w:rsidRPr="00000000" w14:paraId="00000035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cerceamento de defesa pelo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error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in procedendo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medida não se vislumbra que não a anulação da sentença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a oportunização de manifestação e juntada de documentos pelo partido ora recorrido.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Não abertura de conta bancária e não apresentação de extratos</w:t>
      </w:r>
    </w:p>
    <w:p w:rsidR="00000000" w:rsidDel="00000000" w:rsidP="00000000" w:rsidRDefault="00000000" w:rsidRPr="00000000" w14:paraId="00000038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prestação de contas simplificada, aplicável ao caso, está prevista nos arts. 62 e seguintes da Resolução TSE 23.607/2019 e traz exigências documentais mínimas, contidas no art. 53: </w:t>
      </w:r>
    </w:p>
    <w:p w:rsidR="00000000" w:rsidDel="00000000" w:rsidP="00000000" w:rsidRDefault="00000000" w:rsidRPr="00000000" w14:paraId="00000039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extratos das contas bancárias;</w:t>
      </w:r>
    </w:p>
    <w:p w:rsidR="00000000" w:rsidDel="00000000" w:rsidP="00000000" w:rsidRDefault="00000000" w:rsidRPr="00000000" w14:paraId="0000003A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comprovante de recolhimento ao partido das sobras de campanha, caso haja;</w:t>
      </w:r>
    </w:p>
    <w:p w:rsidR="00000000" w:rsidDel="00000000" w:rsidP="00000000" w:rsidRDefault="00000000" w:rsidRPr="00000000" w14:paraId="0000003B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declaração do partido de que recebeu as sobras, se for o caso;</w:t>
      </w:r>
    </w:p>
    <w:p w:rsidR="00000000" w:rsidDel="00000000" w:rsidP="00000000" w:rsidRDefault="00000000" w:rsidRPr="00000000" w14:paraId="0000003C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constituição de advogado.</w:t>
      </w:r>
    </w:p>
    <w:p w:rsidR="00000000" w:rsidDel="00000000" w:rsidP="00000000" w:rsidRDefault="00000000" w:rsidRPr="00000000" w14:paraId="0000003D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Já as contas bancárias, além de precederam os extratos, tem sua obrigatoriedade afirmada como pré-requisito das contas de campanha no</w:t>
      </w:r>
      <w:r w:rsidDel="00000000" w:rsidR="00000000" w:rsidRPr="00000000">
        <w:rPr>
          <w:rFonts w:ascii="Arial" w:cs="Arial" w:eastAsia="Arial" w:hAnsi="Arial"/>
          <w:rtl w:val="0"/>
        </w:rPr>
        <w:t xml:space="preserve"> art. 3º da Resolução TSE 23.607/2019 dispõe que: </w:t>
      </w:r>
    </w:p>
    <w:p w:rsidR="00000000" w:rsidDel="00000000" w:rsidP="00000000" w:rsidRDefault="00000000" w:rsidRPr="00000000" w14:paraId="0000003E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866"/>
          <w:tab w:val="left" w:leader="none" w:pos="2972"/>
        </w:tabs>
        <w:spacing w:after="57" w:before="57" w:line="360" w:lineRule="auto"/>
        <w:ind w:left="2267.71653543307" w:firstLine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Art. 3º A arrecadação de recursos para campanha eleitoral de qualquer natureza deverá observar os seguintes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pré-requisitos:</w:t>
      </w:r>
    </w:p>
    <w:p w:rsidR="00000000" w:rsidDel="00000000" w:rsidP="00000000" w:rsidRDefault="00000000" w:rsidRPr="00000000" w14:paraId="00000040">
      <w:pPr>
        <w:tabs>
          <w:tab w:val="left" w:leader="none" w:pos="1866"/>
          <w:tab w:val="left" w:leader="none" w:pos="2972"/>
        </w:tabs>
        <w:spacing w:after="57" w:before="57" w:line="360" w:lineRule="auto"/>
        <w:ind w:left="2267.71653543307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II - para partidos:</w:t>
      </w:r>
    </w:p>
    <w:p w:rsidR="00000000" w:rsidDel="00000000" w:rsidP="00000000" w:rsidRDefault="00000000" w:rsidRPr="00000000" w14:paraId="00000041">
      <w:pPr>
        <w:tabs>
          <w:tab w:val="left" w:leader="none" w:pos="1866"/>
          <w:tab w:val="left" w:leader="none" w:pos="2972"/>
        </w:tabs>
        <w:spacing w:after="57" w:before="57" w:line="360" w:lineRule="auto"/>
        <w:ind w:left="2267.71653543307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(...)</w:t>
      </w:r>
    </w:p>
    <w:p w:rsidR="00000000" w:rsidDel="00000000" w:rsidP="00000000" w:rsidRDefault="00000000" w:rsidRPr="00000000" w14:paraId="00000042">
      <w:pPr>
        <w:tabs>
          <w:tab w:val="left" w:leader="none" w:pos="1866"/>
          <w:tab w:val="left" w:leader="none" w:pos="2972"/>
        </w:tabs>
        <w:spacing w:after="57" w:before="57" w:line="360" w:lineRule="auto"/>
        <w:ind w:left="2267.71653543307" w:firstLine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c) abertura de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conta bancária específica destinada a registrar a movimentação financeira de campanha; e</w:t>
      </w:r>
    </w:p>
    <w:p w:rsidR="00000000" w:rsidDel="00000000" w:rsidP="00000000" w:rsidRDefault="00000000" w:rsidRPr="00000000" w14:paraId="00000043">
      <w:pPr>
        <w:tabs>
          <w:tab w:val="left" w:leader="none" w:pos="1866"/>
          <w:tab w:val="left" w:leader="none" w:pos="2972"/>
        </w:tabs>
        <w:spacing w:after="57" w:before="57" w:line="360" w:lineRule="auto"/>
        <w:ind w:left="2267.71653543307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(...)</w:t>
      </w:r>
    </w:p>
    <w:p w:rsidR="00000000" w:rsidDel="00000000" w:rsidP="00000000" w:rsidRDefault="00000000" w:rsidRPr="00000000" w14:paraId="00000044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INEXISTÊNCIA DE CONTA BANCÁRIA</w:t>
      </w:r>
    </w:p>
    <w:p w:rsidR="00000000" w:rsidDel="00000000" w:rsidP="00000000" w:rsidRDefault="00000000" w:rsidRPr="00000000" w14:paraId="00000046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Iniciando-se pela ausência de conta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não mencionada no relatório técnico, mas inferida pelo órgão ministerial. Verifica-se, por documento juntado pelo Cartório Eleitoral e não explicitado em seu posterior parecer, um relatório com o título de extrato em que se lê: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não foram encontradas contas para o extrato solicitado” </w:t>
      </w:r>
      <w:r w:rsidDel="00000000" w:rsidR="00000000" w:rsidRPr="00000000">
        <w:rPr>
          <w:rFonts w:ascii="Arial" w:cs="Arial" w:eastAsia="Arial" w:hAnsi="Arial"/>
          <w:rtl w:val="0"/>
        </w:rPr>
        <w:t xml:space="preserve">(ID 122125187).</w:t>
      </w:r>
    </w:p>
    <w:p w:rsidR="00000000" w:rsidDel="00000000" w:rsidP="00000000" w:rsidRDefault="00000000" w:rsidRPr="00000000" w14:paraId="00000047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salvo equívoco ministerial na interpretação de sistema interno da Justiça Eleitoral (SPCE),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não houve abertura de contas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48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 a franqueza e lealdade que devem pautar o comportamento processual,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consigna</w:t>
      </w:r>
      <w:r w:rsidDel="00000000" w:rsidR="00000000" w:rsidRPr="00000000">
        <w:rPr>
          <w:rFonts w:ascii="Arial" w:cs="Arial" w:eastAsia="Arial" w:hAnsi="Arial"/>
          <w:rtl w:val="0"/>
        </w:rPr>
        <w:t xml:space="preserve">-se que foi essa a inferência possível, a qual,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por si só, leva à desaprovação das contas.</w:t>
      </w:r>
    </w:p>
    <w:p w:rsidR="00000000" w:rsidDel="00000000" w:rsidP="00000000" w:rsidRDefault="00000000" w:rsidRPr="00000000" w14:paraId="00000049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Nesse sentido, em julgado </w:t>
      </w:r>
      <w:r w:rsidDel="00000000" w:rsidR="00000000" w:rsidRPr="00000000">
        <w:rPr>
          <w:rFonts w:ascii="Arial" w:cs="Arial" w:eastAsia="Arial" w:hAnsi="Arial"/>
          <w:rtl w:val="0"/>
        </w:rPr>
        <w:t xml:space="preserve">desse</w:t>
      </w:r>
      <w:r w:rsidDel="00000000" w:rsidR="00000000" w:rsidRPr="00000000">
        <w:rPr>
          <w:rFonts w:ascii="Arial" w:cs="Arial" w:eastAsia="Arial" w:hAnsi="Arial"/>
          <w:rtl w:val="0"/>
        </w:rPr>
        <w:t xml:space="preserve"> ano, o Tribunal Superior Eleitoral:</w:t>
      </w:r>
    </w:p>
    <w:p w:rsidR="00000000" w:rsidDel="00000000" w:rsidP="00000000" w:rsidRDefault="00000000" w:rsidRPr="00000000" w14:paraId="0000004A">
      <w:pPr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2267.7165354330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2267.7165354330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[...] Prestação de contas.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Diretório municipal de partido político. Contas desaprovadas na origem. [...] Ausência de abertura de conta bancária. Irregularidade grave. Inaplicabilidade dos princípios da razoabilidade e da proporcionalidade.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[...] a decisão do TRE/SE está em consonância com a jurisprudência consolidada do TSE, segundo a qual a falta de abertura de conta específica é falha grave,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não cabendo a aplicação dos princípios da proporcionalidade e razoabilidade para aprovar as contas, ainda que com ressalvas.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[...]”</w:t>
      </w:r>
    </w:p>
    <w:p w:rsidR="00000000" w:rsidDel="00000000" w:rsidP="00000000" w:rsidRDefault="00000000" w:rsidRPr="00000000" w14:paraId="0000004C">
      <w:pPr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2267.71653543307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(Ac. de 8.2.2024 no AgR-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REspEl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nº 060062137, rel. Min. Raul Araújo.)</w:t>
      </w:r>
    </w:p>
    <w:p w:rsidR="00000000" w:rsidDel="00000000" w:rsidP="00000000" w:rsidRDefault="00000000" w:rsidRPr="00000000" w14:paraId="0000004D">
      <w:pPr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2267.71653543307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início, verifica-se a similitude ao caso em exame O julgado, então, qualifica a não abertura de conta bancária como irregularidade grave. De uma gravidade tal que não admite eventual aplicação dos princípios da razoabilidade ou da proporcionalidade, levando diretamente à desaprovação das contas.</w:t>
      </w:r>
    </w:p>
    <w:p w:rsidR="00000000" w:rsidDel="00000000" w:rsidP="00000000" w:rsidRDefault="00000000" w:rsidRPr="00000000" w14:paraId="0000004F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AUSÊNCIA DE EXTRATOS BANCÁRIOS OU DE SUA ENTREGA</w:t>
      </w:r>
    </w:p>
    <w:p w:rsidR="00000000" w:rsidDel="00000000" w:rsidP="00000000" w:rsidRDefault="00000000" w:rsidRPr="00000000" w14:paraId="00000051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Prosseguindo a análise pela ausência da entrega de extratos</w:t>
      </w:r>
      <w:r w:rsidDel="00000000" w:rsidR="00000000" w:rsidRPr="00000000">
        <w:rPr>
          <w:rFonts w:ascii="Arial" w:cs="Arial" w:eastAsia="Arial" w:hAnsi="Arial"/>
          <w:rtl w:val="0"/>
        </w:rPr>
        <w:t xml:space="preserve">, para o caso de equívoco na interpretação acima, ou, ainda, para robustecer a necessidade de desaprovação da prestação de contas, far-se-á uma incursão jurisprudencial, seguida de uma apanhado legal sobre o assunto.</w:t>
      </w:r>
    </w:p>
    <w:p w:rsidR="00000000" w:rsidDel="00000000" w:rsidP="00000000" w:rsidRDefault="00000000" w:rsidRPr="00000000" w14:paraId="00000052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excerto de julgado abaixo são de 2023, do Tribunal Superior Eleitoral; Vejamos:</w:t>
      </w:r>
    </w:p>
    <w:p w:rsidR="00000000" w:rsidDel="00000000" w:rsidP="00000000" w:rsidRDefault="00000000" w:rsidRPr="00000000" w14:paraId="00000053">
      <w:pPr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2267.7165354330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2267.7165354330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“[...] 2. De acordo com 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reiterada jurisprudência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desta Corte, 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aplicação dos princípios da proporcionalidade e da razoabilidade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processo de contas condiciona–se a três requisitos cumulativos: a) falhas que não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comprometam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higidez do balanço; b) percentual ou valor inexpressivo do total irregular; c) ausência de má–fé. 3.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ausência de recibos eleitorais configura falha de natureza grave que impede que esta Justiça Especializada possa aferir a real movimentação financeira de campanha (precedentes).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[...] 4.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linha da jurisprudência deste Tribunal,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a falta de indicação de contas bancárias e de sua movimentação financeira também se reveste de gravidade, não elidida pelo simples fato de os extratos eletrônicos terem sido identificados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a posteriori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pela Justiça Eleitoral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[...]”.</w:t>
      </w:r>
    </w:p>
    <w:p w:rsidR="00000000" w:rsidDel="00000000" w:rsidP="00000000" w:rsidRDefault="00000000" w:rsidRPr="00000000" w14:paraId="00000055">
      <w:pPr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2267.71653543307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(Ac. de 14.9.2023 no AgR-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REspEl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nº 060041611, rel. Min. Benedito Gonçalves.)</w:t>
      </w:r>
    </w:p>
    <w:p w:rsidR="00000000" w:rsidDel="00000000" w:rsidP="00000000" w:rsidRDefault="00000000" w:rsidRPr="00000000" w14:paraId="00000056">
      <w:pPr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2267.71653543307" w:firstLine="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Pois bem. O Tribunal Superior Eleitoral traz quatro informações relevantes para a análise do caso ora em exame: </w:t>
      </w:r>
    </w:p>
    <w:p w:rsidR="00000000" w:rsidDel="00000000" w:rsidP="00000000" w:rsidRDefault="00000000" w:rsidRPr="00000000" w14:paraId="00000058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trata-se de entendimento consolidado;</w:t>
      </w:r>
    </w:p>
    <w:p w:rsidR="00000000" w:rsidDel="00000000" w:rsidP="00000000" w:rsidRDefault="00000000" w:rsidRPr="00000000" w14:paraId="00000059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a falta de apresentação de extrato bancário constitui falta grave, porquanto não permite a aferição da real movimentação financeira da campanha</w:t>
      </w:r>
    </w:p>
    <w:p w:rsidR="00000000" w:rsidDel="00000000" w:rsidP="00000000" w:rsidRDefault="00000000" w:rsidRPr="00000000" w14:paraId="0000005A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gravidade não é elidida pela juntada de extratos eletrônicos pela Justiça Eleitoral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5B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restam inaplicáveis os princípios da razoabilidade e da proporcionalidade.</w:t>
      </w:r>
    </w:p>
    <w:p w:rsidR="00000000" w:rsidDel="00000000" w:rsidP="00000000" w:rsidRDefault="00000000" w:rsidRPr="00000000" w14:paraId="0000005C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Na linha do julgado, os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extratos consolidados não podem ser substituídos pelos relatórios do SPCE, que não são oficiais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não têm atualização instantânea e estão sujeitos a falhas de sistema. Além do quê, mencione-se, trata da substituição de uma obrigação do partido por um ato cartorário.</w:t>
      </w:r>
    </w:p>
    <w:p w:rsidR="00000000" w:rsidDel="00000000" w:rsidP="00000000" w:rsidRDefault="00000000" w:rsidRPr="00000000" w14:paraId="0000005E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Fosse o extrato substituível pelo relatório do SPCE, não mencionaria a resolução ser ele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documento de apresentação obrigatória nas prestações de contas simplificadas.</w:t>
      </w:r>
    </w:p>
    <w:p w:rsidR="00000000" w:rsidDel="00000000" w:rsidP="00000000" w:rsidRDefault="00000000" w:rsidRPr="00000000" w14:paraId="0000005F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Repisa-se, no caso,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serem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apenas quatro documentos de apresentação obrigatória: um documento formal (constituição de advogado), dois referentes a sobra de campanha, quando houver (caso raríssimo); sobrando, por fim, como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único documento referente às contas, o extrato bancário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0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Pensar pela não necessidade de juntada dos extratos bancários é entender que a prestação de contas se dá pela constituição de um advogado, sem necessidade de apresentação de qualquer documento, logo sem atuação no processo.</w:t>
      </w:r>
    </w:p>
    <w:p w:rsidR="00000000" w:rsidDel="00000000" w:rsidP="00000000" w:rsidRDefault="00000000" w:rsidRPr="00000000" w14:paraId="00000061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Fazendo um apanhado panorâmico de situações previstas em lei que confirmam a necessidade de aplicação do artigo que determina a apresentação do extrato consolidado nas contas de campanha:</w:t>
      </w:r>
    </w:p>
    <w:p w:rsidR="00000000" w:rsidDel="00000000" w:rsidP="00000000" w:rsidRDefault="00000000" w:rsidRPr="00000000" w14:paraId="00000063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a) art. 8º, §§ 3º, 4º e 5º da Resolução TSE 23.607/2019:</w:t>
      </w:r>
    </w:p>
    <w:p w:rsidR="00000000" w:rsidDel="00000000" w:rsidP="00000000" w:rsidRDefault="00000000" w:rsidRPr="00000000" w14:paraId="00000065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candidatos a vice ou suplente que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tenham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aberto conta devem apresentar o documento;</w:t>
      </w:r>
    </w:p>
    <w:p w:rsidR="00000000" w:rsidDel="00000000" w:rsidP="00000000" w:rsidRDefault="00000000" w:rsidRPr="00000000" w14:paraId="00000066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em casos de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renúncia, substituição, desistência, indeferimento do registro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desde que passados 10 (dez) dias da concessão do CNPJ ou em caso de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não conhecimento do registro de candidatura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devem os extratos ser apresentados.</w:t>
      </w:r>
    </w:p>
    <w:p w:rsidR="00000000" w:rsidDel="00000000" w:rsidP="00000000" w:rsidRDefault="00000000" w:rsidRPr="00000000" w14:paraId="00000067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b) art. 53, II, “a” da Resolução TSE 23.607/2019:</w:t>
      </w:r>
    </w:p>
    <w:p w:rsidR="00000000" w:rsidDel="00000000" w:rsidP="00000000" w:rsidRDefault="00000000" w:rsidRPr="00000000" w14:paraId="00000069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dispositivo legal de ordem geral no que concerne à forma e abrangência de apresentação de extrato, aduz que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“[...] 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movimentação financeira ou sua ausência,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em sua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forma definitiva, contemplando todo o período de campanha,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vedada a apresentação de extratos sem validade legal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adulterados, parciais ou que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omitam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qualquer movimentação financeira.”;</w:t>
      </w:r>
    </w:p>
    <w:p w:rsidR="00000000" w:rsidDel="00000000" w:rsidP="00000000" w:rsidRDefault="00000000" w:rsidRPr="00000000" w14:paraId="0000006A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Aqui surgem mais três exigências:</w:t>
      </w:r>
    </w:p>
    <w:p w:rsidR="00000000" w:rsidDel="00000000" w:rsidP="00000000" w:rsidRDefault="00000000" w:rsidRPr="00000000" w14:paraId="0000006B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a) o extrato bancário deve ser apresentado em sua forma definitiva;</w:t>
      </w:r>
    </w:p>
    <w:p w:rsidR="00000000" w:rsidDel="00000000" w:rsidP="00000000" w:rsidRDefault="00000000" w:rsidRPr="00000000" w14:paraId="0000006C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b) contemplar todo o período de campanha;</w:t>
      </w:r>
    </w:p>
    <w:p w:rsidR="00000000" w:rsidDel="00000000" w:rsidP="00000000" w:rsidRDefault="00000000" w:rsidRPr="00000000" w14:paraId="0000006D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c) apresentar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validade legal.</w:t>
      </w:r>
    </w:p>
    <w:p w:rsidR="00000000" w:rsidDel="00000000" w:rsidP="00000000" w:rsidRDefault="00000000" w:rsidRPr="00000000" w14:paraId="0000006E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Consigna-se que o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relatório do SPCE não tem validade legal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como documento emitido por instituição financeira de forma particularizada, abrangente e definitiva.</w:t>
      </w:r>
    </w:p>
    <w:p w:rsidR="00000000" w:rsidDel="00000000" w:rsidP="00000000" w:rsidRDefault="00000000" w:rsidRPr="00000000" w14:paraId="0000006F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c) art. 57, I e § 1º da Resolução TSE 23.607/2019:</w:t>
      </w:r>
    </w:p>
    <w:p w:rsidR="00000000" w:rsidDel="00000000" w:rsidP="00000000" w:rsidRDefault="00000000" w:rsidRPr="00000000" w14:paraId="00000071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necessidade do extrato bancário para verificação da correspondência entre o CPF/CNPJ do doador registrado (no extrato da) prestação de contas e o constante do extrato bancário;</w:t>
      </w:r>
    </w:p>
    <w:p w:rsidR="00000000" w:rsidDel="00000000" w:rsidP="00000000" w:rsidRDefault="00000000" w:rsidRPr="00000000" w14:paraId="00000072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Aqui verifica-se claramente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o teor do extrato físico e do eletrônico pode não ser o mesmo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comprovação da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ausência de movimentação de recursos financeiros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deve ser efetuada mediante 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apresentação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dos correspondentes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extratos bancários ou de declaração firmada pelo gerente da instituição financeira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74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Pontua-se 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necessidade de entrega do extrato mesmo em caso de não movimentação financeira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 Inclusive porque pode ser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indicativo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 caixa dois ou mesmo de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candidatura fraudulenta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Ratificando a exposição, de acordo com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TSE, “O mero lançamento de dados no Sistema de Prestação de Contas Eleitorais (SPCE) não supre o dever de comprovar a veracidade das informações por meio da entrega dos extratos </w:t>
      </w:r>
      <w:r w:rsidDel="00000000" w:rsidR="00000000" w:rsidRPr="00000000">
        <w:rPr>
          <w:rFonts w:ascii="Arial" w:cs="Arial" w:eastAsia="Arial" w:hAnsi="Arial"/>
          <w:rtl w:val="0"/>
        </w:rPr>
        <w:t xml:space="preserve">bancários correspondentes” (TSE - </w:t>
      </w:r>
      <w:r w:rsidDel="00000000" w:rsidR="00000000" w:rsidRPr="00000000">
        <w:rPr>
          <w:rFonts w:ascii="Arial" w:cs="Arial" w:eastAsia="Arial" w:hAnsi="Arial"/>
          <w:rtl w:val="0"/>
        </w:rPr>
        <w:t xml:space="preserve">REspEl</w:t>
      </w:r>
      <w:r w:rsidDel="00000000" w:rsidR="00000000" w:rsidRPr="00000000">
        <w:rPr>
          <w:rFonts w:ascii="Arial" w:cs="Arial" w:eastAsia="Arial" w:hAnsi="Arial"/>
          <w:rtl w:val="0"/>
        </w:rPr>
        <w:t xml:space="preserve">: 060067639 ARINOS - MG, Relator: Min. Benedito Gonçalves, Data de Julgamento: 15/12/2022, Data de Publicação: 02/02/2023).</w:t>
      </w:r>
    </w:p>
    <w:p w:rsidR="00000000" w:rsidDel="00000000" w:rsidP="00000000" w:rsidRDefault="00000000" w:rsidRPr="00000000" w14:paraId="00000077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restam claras as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consequências </w:t>
      </w:r>
      <w:r w:rsidDel="00000000" w:rsidR="00000000" w:rsidRPr="00000000">
        <w:rPr>
          <w:rFonts w:ascii="Arial" w:cs="Arial" w:eastAsia="Arial" w:hAnsi="Arial"/>
          <w:rtl w:val="0"/>
        </w:rPr>
        <w:t xml:space="preserve">da não abertura da conta bancária ou da não apresentação de extratos: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desaprovação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79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INTEMPESTIVIDADE</w:t>
      </w:r>
    </w:p>
    <w:p w:rsidR="00000000" w:rsidDel="00000000" w:rsidP="00000000" w:rsidRDefault="00000000" w:rsidRPr="00000000" w14:paraId="0000007B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intempestividade é verificável do exame do ID 122125826,</w:t>
      </w:r>
    </w:p>
    <w:p w:rsidR="00000000" w:rsidDel="00000000" w:rsidP="00000000" w:rsidRDefault="00000000" w:rsidRPr="00000000" w14:paraId="0000007C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Trata-se de fato objetivo, a dispensar exposição pormenorizada quanto à ocorrência,</w:t>
      </w:r>
    </w:p>
    <w:p w:rsidR="00000000" w:rsidDel="00000000" w:rsidP="00000000" w:rsidRDefault="00000000" w:rsidRPr="00000000" w14:paraId="0000007D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Foi objeto de embargos de declaração conhecidos e improvidos (ID 122304300), já que não enfrentada na sentença. No entendimento do juízo, </w:t>
      </w:r>
    </w:p>
    <w:p w:rsidR="00000000" w:rsidDel="00000000" w:rsidP="00000000" w:rsidRDefault="00000000" w:rsidRPr="00000000" w14:paraId="0000007E">
      <w:pPr>
        <w:tabs>
          <w:tab w:val="left" w:leader="none" w:pos="1866"/>
          <w:tab w:val="left" w:leader="none" w:pos="2972"/>
        </w:tabs>
        <w:spacing w:line="360" w:lineRule="auto"/>
        <w:ind w:left="2267.716535433071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1866"/>
          <w:tab w:val="left" w:leader="none" w:pos="2972"/>
        </w:tabs>
        <w:spacing w:line="360" w:lineRule="auto"/>
        <w:ind w:left="2267.716535433071" w:firstLine="0"/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[;;;] embora a entrega das contas tenha ocorrido fora do prazo, isso não afetou a sua análise, tornando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desnecessária a inclusão de ressalvas.</w:t>
      </w:r>
    </w:p>
    <w:p w:rsidR="00000000" w:rsidDel="00000000" w:rsidP="00000000" w:rsidRDefault="00000000" w:rsidRPr="00000000" w14:paraId="00000080">
      <w:pPr>
        <w:tabs>
          <w:tab w:val="left" w:leader="none" w:pos="1866"/>
          <w:tab w:val="left" w:leader="none" w:pos="2972"/>
        </w:tabs>
        <w:spacing w:line="360" w:lineRule="auto"/>
        <w:ind w:left="2267.716535433071" w:firstLine="0"/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Ademais, não há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nenhuma consequência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jurídica relevante ou efeito prático algum em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contas aprovadas e aquelas aprovadas com ressalvas.</w:t>
      </w:r>
    </w:p>
    <w:p w:rsidR="00000000" w:rsidDel="00000000" w:rsidP="00000000" w:rsidRDefault="00000000" w:rsidRPr="00000000" w14:paraId="00000081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Pois bem, </w:t>
      </w:r>
      <w:r w:rsidDel="00000000" w:rsidR="00000000" w:rsidRPr="00000000">
        <w:rPr>
          <w:rFonts w:ascii="Arial" w:cs="Arial" w:eastAsia="Arial" w:hAnsi="Arial"/>
          <w:rtl w:val="0"/>
        </w:rPr>
        <w:t xml:space="preserve">É certo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a entrega extemporânea das contas é uma irregularidade. Por se tratar de irregularidade formal, uma vez suprida, não deve, por si só, gerar a desaprovação das contas. Trata-se de uma forma de análise proporcional e razoável das contas disposta na Resolução TSE 23.607/2019.</w:t>
      </w:r>
    </w:p>
    <w:p w:rsidR="00000000" w:rsidDel="00000000" w:rsidP="00000000" w:rsidRDefault="00000000" w:rsidRPr="00000000" w14:paraId="00000083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Mas, mesmo não gerando rejeição automática, como irregularidade que é, demanda a anotação de ressalvas. Sobre o assunto, vejamos o entendimento do Tribunal Superior Eleitoral:</w:t>
      </w:r>
    </w:p>
    <w:p w:rsidR="00000000" w:rsidDel="00000000" w:rsidP="00000000" w:rsidRDefault="00000000" w:rsidRPr="00000000" w14:paraId="00000084">
      <w:pPr>
        <w:shd w:fill="ffffff" w:val="clear"/>
        <w:tabs>
          <w:tab w:val="left" w:leader="none" w:pos="1866"/>
          <w:tab w:val="left" w:leader="none" w:pos="2972"/>
        </w:tabs>
        <w:spacing w:after="240" w:line="360" w:lineRule="auto"/>
        <w:ind w:left="2267.71653543307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tabs>
          <w:tab w:val="left" w:leader="none" w:pos="1866"/>
          <w:tab w:val="left" w:leader="none" w:pos="2972"/>
        </w:tabs>
        <w:spacing w:after="240" w:line="360" w:lineRule="auto"/>
        <w:ind w:left="2267.71653543307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ELEIÇÕES 2018. PRESTAÇÃO DE CONTAS. PARTIDO SOCIALISTA BRASILEIRO. INEXISTÊNCIA DE ÓBICES RELEVANTES À FISCALIZAÇÃO. PRINCÍPIOS DA PROPORCIONALIDADE E DA RAZOABILIDADE. PRECEDENTES.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APROVAÇÃO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COM RESSALVAS. 1. O entendimento do TSE para o pleito de 2018 é de que 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atraso no envio dos relatórios financeiros ou das contas parciais ou sua entrega com inconsistências não conduzirá à desaprovação das contas, desde que evidenciado o saneamento posterior.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Observância à segurança jurídica e à isonomia. 2. O partido descumpriu a determinação prevista no art. 52, § 1º, II, da Res.–TSE nº 23.553/2017, uma vez que, inicialmente, transmitiu a prestação de contas final do 2º turno desacompanhada da mídia eletrônica gerada por meio do SPCE.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Sanou a omissão posteriormente à sua intimação. Por não ter ocorrido o comprometimento efetivo das contas, não há falar em desaprovação,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nos termos assinalados pelos órgãos técnico e ministerial. Nesse sentido, relativo ao pleito de 2018: PC nº 0601214–41, Rel. Min.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Sergio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Banhos, DJe de 28.10.2022. 3. Diante 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ausência de óbices relevantes à fiscalização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das contas em sua totalidade, estas devem ser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aprovadas com ressalvas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Precedentes. 4. Contas aprovadas com ressalvas.</w:t>
      </w:r>
    </w:p>
    <w:p w:rsidR="00000000" w:rsidDel="00000000" w:rsidP="00000000" w:rsidRDefault="00000000" w:rsidRPr="00000000" w14:paraId="00000086">
      <w:pPr>
        <w:shd w:fill="ffffff" w:val="clear"/>
        <w:tabs>
          <w:tab w:val="left" w:leader="none" w:pos="1866"/>
          <w:tab w:val="left" w:leader="none" w:pos="2972"/>
        </w:tabs>
        <w:spacing w:after="240" w:line="360" w:lineRule="auto"/>
        <w:ind w:left="2267.71653543307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(TSE - PC: 06014335420186000000 BRASÍLIA - DF 060143354, Relator: Min. Carlos Horbach, Data de Julgamento: 27/02/2023, Data de Publicação: DJE - Diário de Justiça Eletrônico, Tomo 35)</w:t>
      </w:r>
    </w:p>
    <w:p w:rsidR="00000000" w:rsidDel="00000000" w:rsidP="00000000" w:rsidRDefault="00000000" w:rsidRPr="00000000" w14:paraId="00000087">
      <w:pPr>
        <w:shd w:fill="ffffff" w:val="clear"/>
        <w:tabs>
          <w:tab w:val="left" w:leader="none" w:pos="1866"/>
          <w:tab w:val="left" w:leader="none" w:pos="2972"/>
        </w:tabs>
        <w:spacing w:after="240" w:line="360" w:lineRule="auto"/>
        <w:ind w:left="2267.71653543307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verifica-se que a proporcionalidade e razoabilidade admitidas na análise dessa irregularidade são para não desaprovar as contas, sendo necessária, de qualquer forma, a anotação da ressalva.</w:t>
      </w:r>
    </w:p>
    <w:p w:rsidR="00000000" w:rsidDel="00000000" w:rsidP="00000000" w:rsidRDefault="00000000" w:rsidRPr="00000000" w14:paraId="00000089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Logo, trata-se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causa de aprovação com ressalvas, que, somada com a não abertura de conta e/ou apresentação de extrato bancário, conduz à inexorável DESAPROVAÇÃO.</w:t>
      </w:r>
    </w:p>
    <w:p w:rsidR="00000000" w:rsidDel="00000000" w:rsidP="00000000" w:rsidRDefault="00000000" w:rsidRPr="00000000" w14:paraId="0000008A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PREQUESTIONAMENTO</w:t>
      </w:r>
    </w:p>
    <w:p w:rsidR="00000000" w:rsidDel="00000000" w:rsidP="00000000" w:rsidRDefault="00000000" w:rsidRPr="00000000" w14:paraId="0000008C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Persistindo o entendimento esposado pela decisão, se prolongará grave ofensa à norma constitucional referida no art. 17, III, da Constituição Federal, já que o dever de prestar contas segue regramentos cujo desrespeito atingem frontalmente a Carta Maior. Assim, se prequestiona tal matéria, possibilitando que legítima e eventualmente possa ser deduzida a </w:t>
      </w:r>
      <w:r w:rsidDel="00000000" w:rsidR="00000000" w:rsidRPr="00000000">
        <w:rPr>
          <w:rFonts w:ascii="Arial" w:cs="Arial" w:eastAsia="Arial" w:hAnsi="Arial"/>
          <w:rtl w:val="0"/>
        </w:rPr>
        <w:t xml:space="preserve">pretensa</w:t>
      </w:r>
      <w:r w:rsidDel="00000000" w:rsidR="00000000" w:rsidRPr="00000000">
        <w:rPr>
          <w:rFonts w:ascii="Arial" w:cs="Arial" w:eastAsia="Arial" w:hAnsi="Arial"/>
          <w:rtl w:val="0"/>
        </w:rPr>
        <w:t xml:space="preserve"> invocação de jurisdição constitucional por intermédio do recurso extraordinário, já que seu conteúdo afronta o dever fundamental de os partidos políticos prestarem contas, ao que corresponde o direito dos cidadãos de verem as contas seriamente prestadas.</w:t>
      </w:r>
    </w:p>
    <w:p w:rsidR="00000000" w:rsidDel="00000000" w:rsidP="00000000" w:rsidRDefault="00000000" w:rsidRPr="00000000" w14:paraId="0000008D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Ante o exposto,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Ministério Público Eleitoral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requer a este egrégio Tribunal Regional Eleitoral que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conheça o recurso,</w:t>
      </w:r>
      <w:r w:rsidDel="00000000" w:rsidR="00000000" w:rsidRPr="00000000">
        <w:rPr>
          <w:rFonts w:ascii="Arial" w:cs="Arial" w:eastAsia="Arial" w:hAnsi="Arial"/>
          <w:rtl w:val="0"/>
        </w:rPr>
        <w:t xml:space="preserve"> dando-lhe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provimento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para, sucessivamente:</w:t>
      </w:r>
    </w:p>
    <w:p w:rsidR="00000000" w:rsidDel="00000000" w:rsidP="00000000" w:rsidRDefault="00000000" w:rsidRPr="00000000" w14:paraId="0000008F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ANULAR </w:t>
      </w:r>
      <w:r w:rsidDel="00000000" w:rsidR="00000000" w:rsidRPr="00000000">
        <w:rPr>
          <w:rFonts w:ascii="Arial" w:cs="Arial" w:eastAsia="Arial" w:hAnsi="Arial"/>
          <w:rtl w:val="0"/>
        </w:rPr>
        <w:t xml:space="preserve">a sentença por não ter oportunizado o contraditório ao recorrido mediante abertura de prazo para diligências, consoante artigo 67 da Resolução TSE 23.607/2019; ou</w:t>
      </w:r>
    </w:p>
    <w:p w:rsidR="00000000" w:rsidDel="00000000" w:rsidP="00000000" w:rsidRDefault="00000000" w:rsidRPr="00000000" w14:paraId="00000090">
      <w:pPr>
        <w:tabs>
          <w:tab w:val="left" w:leader="none" w:pos="1866"/>
          <w:tab w:val="left" w:leader="none" w:pos="2972"/>
        </w:tabs>
        <w:spacing w:after="57" w:before="57" w:line="360" w:lineRule="auto"/>
        <w:ind w:firstLine="1700.78740157480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em</w:t>
      </w:r>
      <w:r w:rsidDel="00000000" w:rsidR="00000000" w:rsidRPr="00000000">
        <w:rPr>
          <w:rFonts w:ascii="Arial" w:cs="Arial" w:eastAsia="Arial" w:hAnsi="Arial"/>
          <w:rtl w:val="0"/>
        </w:rPr>
        <w:t xml:space="preserve"> não sendo o entendimento do Tribunal,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DESAPROVAR AS CONTAS</w:t>
      </w:r>
      <w:r w:rsidDel="00000000" w:rsidR="00000000" w:rsidRPr="00000000">
        <w:rPr>
          <w:rFonts w:ascii="Arial" w:cs="Arial" w:eastAsia="Arial" w:hAnsi="Arial"/>
          <w:rtl w:val="0"/>
        </w:rPr>
        <w:t xml:space="preserve"> em exame.</w:t>
      </w:r>
    </w:p>
    <w:p w:rsidR="00000000" w:rsidDel="00000000" w:rsidP="00000000" w:rsidRDefault="00000000" w:rsidRPr="00000000" w14:paraId="00000091">
      <w:pPr>
        <w:spacing w:after="57" w:before="57" w:line="360" w:lineRule="auto"/>
        <w:ind w:firstLine="170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Tocantinópolis/TO, 07 de maio de 2024.</w:t>
      </w:r>
    </w:p>
    <w:p w:rsidR="00000000" w:rsidDel="00000000" w:rsidP="00000000" w:rsidRDefault="00000000" w:rsidRPr="00000000" w14:paraId="00000093">
      <w:pPr>
        <w:spacing w:after="57" w:before="57" w:line="360" w:lineRule="auto"/>
        <w:ind w:firstLine="17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57" w:before="57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Célem Guimarães Guerra Júnior</w:t>
      </w:r>
    </w:p>
    <w:p w:rsidR="00000000" w:rsidDel="00000000" w:rsidP="00000000" w:rsidRDefault="00000000" w:rsidRPr="00000000" w14:paraId="00000095">
      <w:pPr>
        <w:tabs>
          <w:tab w:val="left" w:leader="none" w:pos="1866"/>
          <w:tab w:val="left" w:leader="none" w:pos="2972"/>
        </w:tabs>
        <w:spacing w:after="57" w:before="57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Promotor Eleitoral</w:t>
      </w:r>
    </w:p>
    <w:p w:rsidR="00000000" w:rsidDel="00000000" w:rsidP="00000000" w:rsidRDefault="00000000" w:rsidRPr="00000000" w14:paraId="00000096">
      <w:pPr>
        <w:ind w:left="0" w:righ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693" w:top="2147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567" w:right="-567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-359563</wp:posOffset>
          </wp:positionH>
          <wp:positionV relativeFrom="paragraph">
            <wp:posOffset>9525</wp:posOffset>
          </wp:positionV>
          <wp:extent cx="6839585" cy="71247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1079" l="-86368" r="-86368" t="21080"/>
                  <a:stretch>
                    <a:fillRect/>
                  </a:stretch>
                </pic:blipFill>
                <pic:spPr>
                  <a:xfrm>
                    <a:off x="0" y="0"/>
                    <a:ext cx="6839585" cy="7124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4819"/>
        <w:tab w:val="right" w:leader="none" w:pos="9638"/>
      </w:tabs>
      <w:spacing w:after="0" w:before="454" w:line="240" w:lineRule="auto"/>
      <w:ind w:left="-567" w:right="-567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-360043</wp:posOffset>
          </wp:positionH>
          <wp:positionV relativeFrom="paragraph">
            <wp:posOffset>-316228</wp:posOffset>
          </wp:positionV>
          <wp:extent cx="6840220" cy="807720"/>
          <wp:effectExtent b="0" l="0" r="0" t="0"/>
          <wp:wrapSquare wrapText="bothSides" distB="0" distT="0" distL="0" distR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40220" cy="8077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40" w:lineRule="auto"/>
      <w:ind w:left="432" w:hanging="432"/>
      <w:jc w:val="center"/>
    </w:pPr>
    <w:rPr>
      <w:b w:val="1"/>
      <w:sz w:val="73"/>
      <w:szCs w:val="73"/>
    </w:rPr>
  </w:style>
  <w:style w:type="paragraph" w:styleId="Heading2">
    <w:name w:val="heading 2"/>
    <w:basedOn w:val="Normal"/>
    <w:next w:val="Normal"/>
    <w:pPr>
      <w:spacing w:after="120" w:before="200" w:lineRule="auto"/>
      <w:ind w:left="576" w:hanging="576"/>
      <w:jc w:val="center"/>
    </w:pPr>
    <w:rPr>
      <w:b w:val="1"/>
      <w:sz w:val="64"/>
      <w:szCs w:val="64"/>
    </w:rPr>
  </w:style>
  <w:style w:type="paragraph" w:styleId="Heading3">
    <w:name w:val="heading 3"/>
    <w:basedOn w:val="Normal"/>
    <w:next w:val="Normal"/>
    <w:pPr>
      <w:spacing w:after="120" w:before="140" w:lineRule="auto"/>
      <w:ind w:left="720" w:hanging="720"/>
      <w:jc w:val="center"/>
    </w:pPr>
    <w:rPr>
      <w:b w:val="1"/>
      <w:sz w:val="57"/>
      <w:szCs w:val="5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40" w:lineRule="auto"/>
      <w:ind w:left="432" w:hanging="432"/>
      <w:jc w:val="center"/>
    </w:pPr>
    <w:rPr>
      <w:b w:val="1"/>
      <w:sz w:val="73"/>
      <w:szCs w:val="73"/>
    </w:rPr>
  </w:style>
  <w:style w:type="paragraph" w:styleId="Heading2">
    <w:name w:val="heading 2"/>
    <w:basedOn w:val="Normal"/>
    <w:next w:val="Normal"/>
    <w:pPr>
      <w:spacing w:after="120" w:before="200" w:lineRule="auto"/>
      <w:ind w:left="576" w:hanging="576"/>
      <w:jc w:val="center"/>
    </w:pPr>
    <w:rPr>
      <w:b w:val="1"/>
      <w:sz w:val="64"/>
      <w:szCs w:val="64"/>
    </w:rPr>
  </w:style>
  <w:style w:type="paragraph" w:styleId="Heading3">
    <w:name w:val="heading 3"/>
    <w:basedOn w:val="Normal"/>
    <w:next w:val="Normal"/>
    <w:pPr>
      <w:spacing w:after="120" w:before="140" w:lineRule="auto"/>
      <w:ind w:left="720" w:hanging="720"/>
      <w:jc w:val="center"/>
    </w:pPr>
    <w:rPr>
      <w:b w:val="1"/>
      <w:sz w:val="57"/>
      <w:szCs w:val="5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56"/>
      <w:szCs w:val="56"/>
    </w:rPr>
  </w:style>
  <w:style w:type="paragraph" w:styleId="Subtitle">
    <w:name w:val="Subtitle"/>
    <w:basedOn w:val="Normal"/>
    <w:next w:val="Normal"/>
    <w:pPr>
      <w:spacing w:after="120" w:before="60" w:lineRule="auto"/>
      <w:jc w:val="center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>
      <w:spacing w:after="120" w:before="60" w:lineRule="auto"/>
      <w:jc w:val="center"/>
    </w:pPr>
    <w:rPr>
      <w:b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xkxzpss41Lkbli2vgqXD0ZIeQ==">CgMxLjA4AHIhMVBzcjZfNkxia19LR1NRbDE2Wl83eFVscmxPMlh1eldM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