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ind w:left="0" w:right="0" w:hanging="0"/>
        <w:jc w:val="center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  <w:t>RECOMENDAÇÃO N.º _____/2024</w:t>
      </w:r>
    </w:p>
    <w:p>
      <w:pPr>
        <w:pStyle w:val="Normal"/>
        <w:ind w:left="0" w:right="0" w:firstLine="708"/>
        <w:jc w:val="both"/>
        <w:rPr>
          <w:rFonts w:ascii="Cambria" w:hAnsi="Cambria" w:cs="Arial"/>
          <w:b/>
          <w:b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 xml:space="preserve">O </w:t>
      </w:r>
      <w:r>
        <w:rPr>
          <w:rFonts w:cs="Arial" w:ascii="Cambria" w:hAnsi="Cambria"/>
          <w:sz w:val="24"/>
          <w:szCs w:val="24"/>
        </w:rPr>
        <w:t>r</w:t>
      </w:r>
      <w:r>
        <w:rPr>
          <w:rFonts w:cs="Arial" w:ascii="Cambria" w:hAnsi="Cambria"/>
          <w:sz w:val="24"/>
          <w:szCs w:val="24"/>
        </w:rPr>
        <w:t xml:space="preserve">epresentante do Ministério Público Eleitoral nesta zona, no uso de suas atribuições legais e na forma como dispõem os arts. 37, § 1º e 127 da Constituição Federal, Lei Complementar Federal nº 75/93; Lei Federal nº 8.625/93 (Lei Orgânica Nacional do Ministério Público); Lei Federal nº 9.504/97 (Lei das Eleições) e demais disposições legais aplicáveis à espécie, e;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i w:val="false"/>
          <w:iCs w:val="false"/>
          <w:sz w:val="24"/>
          <w:szCs w:val="24"/>
        </w:rPr>
        <w:t>CONSIDERANDO</w:t>
      </w:r>
      <w:r>
        <w:rPr>
          <w:rFonts w:cs="Arial" w:ascii="Cambria" w:hAnsi="Cambria"/>
          <w:b/>
          <w:i/>
          <w:sz w:val="24"/>
          <w:szCs w:val="24"/>
        </w:rPr>
        <w:t xml:space="preserve"> </w:t>
      </w:r>
      <w:r>
        <w:rPr>
          <w:rFonts w:cs="Arial" w:ascii="Cambria" w:hAnsi="Cambria"/>
          <w:sz w:val="24"/>
          <w:szCs w:val="24"/>
        </w:rPr>
        <w:t xml:space="preserve">ser atribuição legal do Ministério Público expedir recomendações visando à melhoria dos serviços públicos e de relevância pública, bem como ao respeito, aos interesses, direitos e bens cuja defesa lhe cabe promover (art. 6º, inciso XX da LC 75/93);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i w:val="false"/>
          <w:iCs w:val="false"/>
          <w:sz w:val="24"/>
          <w:szCs w:val="24"/>
        </w:rPr>
        <w:t>CONSIDERANDO</w:t>
      </w:r>
      <w:r>
        <w:rPr>
          <w:rFonts w:cs="Arial" w:ascii="Cambria" w:hAnsi="Cambria"/>
          <w:b/>
          <w:sz w:val="24"/>
          <w:szCs w:val="24"/>
        </w:rPr>
        <w:t xml:space="preserve"> </w:t>
      </w:r>
      <w:r>
        <w:rPr>
          <w:rFonts w:cs="Arial" w:ascii="Cambria" w:hAnsi="Cambria"/>
          <w:sz w:val="24"/>
          <w:szCs w:val="24"/>
        </w:rPr>
        <w:t xml:space="preserve">que incumbe ao Ministério Público a defesa da ordem jurídica e do regime democrático (art. 127 da CF/88), como também o acompanhamento de todas as fases do processo eleitoral (art. 72 da Lei Complementar Federal n. 75/93);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i w:val="false"/>
          <w:iCs w:val="false"/>
          <w:sz w:val="24"/>
          <w:szCs w:val="24"/>
        </w:rPr>
        <w:t>CONSIDERANDO</w:t>
      </w:r>
      <w:r>
        <w:rPr>
          <w:rFonts w:cs="Arial" w:ascii="Cambria" w:hAnsi="Cambria"/>
          <w:sz w:val="24"/>
          <w:szCs w:val="24"/>
        </w:rPr>
        <w:t xml:space="preserve"> que a democracia pressupõe liberdade e autonomia do eleitor na escolha de seus candidatos;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i w:val="false"/>
          <w:iCs w:val="false"/>
          <w:sz w:val="24"/>
          <w:szCs w:val="24"/>
        </w:rPr>
        <w:t>CONSIDERANDO</w:t>
      </w:r>
      <w:r>
        <w:rPr>
          <w:rFonts w:cs="Arial" w:ascii="Cambria" w:hAnsi="Cambria"/>
          <w:i w:val="false"/>
          <w:iCs w:val="false"/>
          <w:sz w:val="24"/>
          <w:szCs w:val="24"/>
        </w:rPr>
        <w:t xml:space="preserve"> </w:t>
      </w:r>
      <w:r>
        <w:rPr>
          <w:rFonts w:cs="Arial" w:ascii="Cambria" w:hAnsi="Cambria"/>
          <w:sz w:val="24"/>
          <w:szCs w:val="24"/>
        </w:rPr>
        <w:t xml:space="preserve">que o abuso do poder econômico e do poder político, como também o uso indevido dos veículos e meios de comunicação social constituem expedientes que atentam contra a isonomia de oportunidades dos candidatos e contra a liberdade de escolha dos eleitores, afetando a normalidade e a legitimidade das eleições;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i w:val="false"/>
          <w:iCs w:val="false"/>
          <w:sz w:val="24"/>
          <w:szCs w:val="24"/>
        </w:rPr>
        <w:t>CONSIDERANDO</w:t>
      </w:r>
      <w:r>
        <w:rPr>
          <w:rFonts w:cs="Arial" w:ascii="Cambria" w:hAnsi="Cambria"/>
          <w:sz w:val="24"/>
          <w:szCs w:val="24"/>
        </w:rPr>
        <w:t xml:space="preserve"> que a legislação eleitoral vigente elenca como condutas vedadas diversas práticas com finalidade escusas e eleitoreiras;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i w:val="false"/>
          <w:iCs w:val="false"/>
          <w:sz w:val="24"/>
          <w:szCs w:val="24"/>
        </w:rPr>
        <w:t>CONSIDERANDO</w:t>
      </w:r>
      <w:r>
        <w:rPr>
          <w:rFonts w:cs="Arial" w:ascii="Cambria" w:hAnsi="Cambria"/>
          <w:sz w:val="24"/>
          <w:szCs w:val="24"/>
        </w:rPr>
        <w:t xml:space="preserve"> que em relação às referidas práticas a lei eleitoral atribui penalidades para seus responsáveis e beneficiários;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eastAsia="Times New Roman" w:cs="Arial" w:ascii="Cambria" w:hAnsi="Cambria"/>
          <w:b/>
          <w:bCs/>
          <w:color w:val="00000A"/>
          <w:sz w:val="24"/>
          <w:szCs w:val="24"/>
          <w:lang w:val="pt-BR" w:eastAsia="zh-CN" w:bidi="ar-SA"/>
        </w:rPr>
        <w:t>CONSIDERANDO</w:t>
      </w:r>
      <w:r>
        <w:rPr>
          <w:rFonts w:eastAsia="Times New Roman" w:cs="Arial" w:ascii="Cambria" w:hAnsi="Cambria"/>
          <w:bCs/>
          <w:color w:val="00000A"/>
          <w:sz w:val="24"/>
          <w:szCs w:val="24"/>
          <w:lang w:val="pt-BR" w:eastAsia="zh-CN" w:bidi="ar-SA"/>
        </w:rPr>
        <w:t xml:space="preserve"> que o Ministério Público, na defesa do regime democrático e da lisura do pleito, </w:t>
      </w:r>
      <w:r>
        <w:rPr>
          <w:rFonts w:eastAsia="Times New Roman" w:cs="Arial" w:ascii="Cambria" w:hAnsi="Cambria"/>
          <w:b/>
          <w:bCs/>
          <w:color w:val="00000A"/>
          <w:sz w:val="24"/>
          <w:szCs w:val="24"/>
          <w:u w:val="thick"/>
          <w:lang w:val="pt-BR" w:eastAsia="zh-CN" w:bidi="ar-SA"/>
        </w:rPr>
        <w:t>prefere atuar preventivamente</w:t>
      </w:r>
      <w:r>
        <w:rPr>
          <w:rFonts w:eastAsia="Times New Roman" w:cs="Arial" w:ascii="Cambria" w:hAnsi="Cambria"/>
          <w:bCs/>
          <w:color w:val="00000A"/>
          <w:sz w:val="24"/>
          <w:szCs w:val="24"/>
          <w:lang w:val="pt-BR" w:eastAsia="zh-CN" w:bidi="ar-SA"/>
        </w:rPr>
        <w:t>, contribuindo para que se evitem os atos viciosos das eleições – como os aqui indicados – e se produzam resultados eleitorais legítimos;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eastAsia="Times New Roman" w:cs="Arial" w:ascii="Cambria" w:hAnsi="Cambria"/>
          <w:b/>
          <w:bCs/>
          <w:color w:val="00000A"/>
          <w:sz w:val="24"/>
          <w:szCs w:val="24"/>
          <w:lang w:val="pt-BR" w:eastAsia="zh-CN" w:bidi="ar-SA"/>
        </w:rPr>
        <w:t>CONSIDERANDO</w:t>
      </w:r>
      <w:r>
        <w:rPr>
          <w:rFonts w:eastAsia="Times New Roman" w:cs="Arial" w:ascii="Cambria" w:hAnsi="Cambria"/>
          <w:bCs/>
          <w:color w:val="00000A"/>
          <w:sz w:val="24"/>
          <w:szCs w:val="24"/>
          <w:lang w:val="pt-BR" w:eastAsia="zh-CN" w:bidi="ar-SA"/>
        </w:rPr>
        <w:t xml:space="preserve"> que a recomendação do Ministério Público é </w:t>
      </w:r>
      <w:r>
        <w:rPr>
          <w:rFonts w:eastAsia="Times New Roman" w:cs="Arial" w:ascii="Cambria" w:hAnsi="Cambria"/>
          <w:b/>
          <w:bCs/>
          <w:color w:val="00000A"/>
          <w:sz w:val="24"/>
          <w:szCs w:val="24"/>
          <w:u w:val="thick"/>
          <w:lang w:val="pt-BR" w:eastAsia="zh-CN" w:bidi="ar-SA"/>
        </w:rPr>
        <w:t>instrumento de orientação</w:t>
      </w:r>
      <w:r>
        <w:rPr>
          <w:rFonts w:eastAsia="Times New Roman" w:cs="Arial" w:ascii="Cambria" w:hAnsi="Cambria"/>
          <w:bCs/>
          <w:color w:val="00000A"/>
          <w:sz w:val="24"/>
          <w:szCs w:val="24"/>
          <w:lang w:val="pt-BR" w:eastAsia="zh-CN" w:bidi="ar-SA"/>
        </w:rPr>
        <w:t xml:space="preserve"> que visa antecipar-se ao cometimento do ilícito e evitar a imposição de sanções, muitas vezes graves e com repercussões importantes na candidatura;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i w:val="false"/>
          <w:iCs w:val="false"/>
          <w:sz w:val="24"/>
          <w:szCs w:val="24"/>
        </w:rPr>
        <w:t>CONSIDERANDO</w:t>
      </w:r>
      <w:r>
        <w:rPr>
          <w:rFonts w:cs="Arial" w:ascii="Cambria" w:hAnsi="Cambria"/>
          <w:sz w:val="24"/>
          <w:szCs w:val="24"/>
        </w:rPr>
        <w:t xml:space="preserve"> que, em virtude das mudanças trazidas pela Emenda Constitucional n.º 107/2020, o dia </w:t>
      </w:r>
      <w:r>
        <w:rPr>
          <w:rFonts w:cs="Arial" w:ascii="Cambria" w:hAnsi="Cambria"/>
          <w:color w:val="C9211E"/>
          <w:sz w:val="24"/>
          <w:szCs w:val="24"/>
        </w:rPr>
        <w:t>XXX</w:t>
      </w:r>
      <w:r>
        <w:rPr>
          <w:rFonts w:cs="Arial" w:ascii="Cambria" w:hAnsi="Cambria"/>
          <w:sz w:val="24"/>
          <w:szCs w:val="24"/>
        </w:rPr>
        <w:t xml:space="preserve"> do corrente ano se afigura como o termo inicial do período em que é </w:t>
      </w:r>
      <w:r>
        <w:rPr>
          <w:rFonts w:cs="Arial" w:ascii="Cambria" w:hAnsi="Cambria"/>
          <w:b/>
          <w:bCs/>
          <w:sz w:val="24"/>
          <w:szCs w:val="24"/>
        </w:rPr>
        <w:t>vedado aos agentes púb</w:t>
      </w:r>
      <w:r>
        <w:rPr>
          <w:rFonts w:eastAsia="Times New Roman" w:cs="Arial" w:ascii="Cambria" w:hAnsi="Cambria"/>
          <w:b/>
          <w:bCs/>
          <w:color w:val="auto"/>
          <w:sz w:val="24"/>
          <w:szCs w:val="24"/>
          <w:lang w:val="pt-BR" w:eastAsia="zh-CN" w:bidi="ar-SA"/>
        </w:rPr>
        <w:t xml:space="preserve">licos </w:t>
      </w:r>
      <w:r>
        <w:rPr>
          <w:rFonts w:eastAsia="Times New Roman" w:cs="Arial" w:ascii="Cambria" w:hAnsi="Cambria"/>
          <w:b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 xml:space="preserve">nomear, contratar ou de qualquer forma admitir, demitir sem justa causa, suprimir ou readaptar vantagens ou por outros meios dificultar ou impedir o exercício funcional e, ainda, </w:t>
      </w:r>
      <w:r>
        <w:rPr>
          <w:rFonts w:eastAsia="Times New Roman" w:cs="Arial" w:ascii="Cambria" w:hAnsi="Cambria"/>
          <w:b/>
          <w:bCs/>
          <w:i/>
          <w:iCs w:val="false"/>
          <w:color w:val="auto"/>
          <w:spacing w:val="0"/>
          <w:sz w:val="24"/>
          <w:szCs w:val="24"/>
          <w:lang w:val="pt-BR" w:eastAsia="zh-CN" w:bidi="ar-SA"/>
        </w:rPr>
        <w:t>ex officio</w:t>
      </w:r>
      <w:r>
        <w:rPr>
          <w:rFonts w:eastAsia="Times New Roman" w:cs="Arial" w:ascii="Cambria" w:hAnsi="Cambria"/>
          <w:b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, remover, transferir ou exonerar servidor público</w:t>
      </w:r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 xml:space="preserve">, </w:t>
      </w:r>
      <w:r>
        <w:rPr>
          <w:rFonts w:eastAsia="Times New Roman" w:cs="Arial" w:ascii="Cambria" w:hAnsi="Cambria"/>
          <w:b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ressalvados</w:t>
      </w:r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 xml:space="preserve">: </w:t>
      </w:r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pt-BR" w:eastAsia="zh-CN" w:bidi="ar-SA"/>
        </w:rPr>
        <w:t xml:space="preserve">a) a nomeação ou exoneração de cargos em comissão e designação ou dispensa de funções de confiança; </w:t>
      </w:r>
      <w:bookmarkStart w:id="0" w:name="art73vb"/>
      <w:bookmarkEnd w:id="0"/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pt-BR" w:eastAsia="zh-CN" w:bidi="ar-SA"/>
        </w:rPr>
        <w:t xml:space="preserve">b) a nomeação para cargos do Poder Judiciário, do Ministério Público, dos Tribunais ou Conselhos de Contas e dos órgãos da Presidência da República; </w:t>
      </w:r>
      <w:bookmarkStart w:id="1" w:name="art73vc"/>
      <w:bookmarkEnd w:id="1"/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pt-BR" w:eastAsia="zh-CN" w:bidi="ar-SA"/>
        </w:rPr>
        <w:t xml:space="preserve">c) a nomeação dos aprovados em concursos públicos homologados até o início daquele prazo; </w:t>
      </w:r>
      <w:bookmarkStart w:id="2" w:name="art73vd"/>
      <w:bookmarkEnd w:id="2"/>
      <w:r>
        <w:rPr>
          <w:rFonts w:eastAsia="Times New Roman" w:cs="Arial" w:ascii="Cambria" w:hAnsi="Cambria"/>
          <w:b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pt-BR" w:eastAsia="zh-CN" w:bidi="ar-SA"/>
        </w:rPr>
        <w:t>d) a nomeação ou contratação necessária à instalação ou ao funcionamento inadiável de serviços públicos essenciais</w:t>
      </w:r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pt-BR" w:eastAsia="zh-CN" w:bidi="ar-SA"/>
        </w:rPr>
        <w:t xml:space="preserve">, com prévia e expressa autorização do Chefe do Poder Executivo; </w:t>
      </w:r>
      <w:bookmarkStart w:id="3" w:name="art73ve"/>
      <w:bookmarkEnd w:id="3"/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pt-BR" w:eastAsia="zh-CN" w:bidi="ar-SA"/>
        </w:rPr>
        <w:t>e) a transferência ou remoção ex officio de militares, policiais civis e de agentes penitenciários.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  <w:t>RECOMENDA (art. 6°, XX, da LC nº 75/93)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 xml:space="preserve">A todos os agentes públicos (Prefeitos, Secretários Municipais, Vereadores e demais agentes públicos) que se abstenham de realizar a </w:t>
      </w:r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 xml:space="preserve">nomeação, contratação ou de qualquer forma admissão, demissão sem justa causa, supressão ou readaptação de vantagens ou por outros meios causar dificuldades ou impedimentos ao exercício funcional e, ainda, </w:t>
      </w:r>
      <w:r>
        <w:rPr>
          <w:rFonts w:eastAsia="Times New Roman" w:cs="Arial" w:ascii="Cambria" w:hAnsi="Cambria"/>
          <w:b w:val="false"/>
          <w:bCs w:val="false"/>
          <w:i/>
          <w:iCs w:val="false"/>
          <w:color w:val="auto"/>
          <w:spacing w:val="0"/>
          <w:sz w:val="24"/>
          <w:szCs w:val="24"/>
          <w:lang w:val="pt-BR" w:eastAsia="zh-CN" w:bidi="ar-SA"/>
        </w:rPr>
        <w:t>ex officio</w:t>
      </w:r>
      <w:r>
        <w:rPr>
          <w:rFonts w:eastAsia="Times New Roman" w:cs="Arial" w:ascii="Cambria" w:hAnsi="Cambri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, remover, transferir ou exonerar servidor público</w:t>
      </w:r>
      <w:r>
        <w:rPr>
          <w:rFonts w:cs="Arial" w:ascii="Cambria" w:hAnsi="Cambria"/>
          <w:sz w:val="24"/>
          <w:szCs w:val="24"/>
        </w:rPr>
        <w:t xml:space="preserve">, cujo descumprimento fere o </w:t>
      </w:r>
      <w:r>
        <w:rPr>
          <w:rFonts w:cs="Arial" w:ascii="Cambria" w:hAnsi="Cambria"/>
          <w:b/>
          <w:sz w:val="24"/>
          <w:szCs w:val="24"/>
          <w:u w:val="single"/>
        </w:rPr>
        <w:t>PRINCÍPIO DA IMPESSOALIDADE</w:t>
      </w:r>
      <w:r>
        <w:rPr>
          <w:rFonts w:cs="Arial" w:ascii="Cambria" w:hAnsi="Cambria"/>
          <w:sz w:val="24"/>
          <w:szCs w:val="24"/>
        </w:rPr>
        <w:t xml:space="preserve"> disposto no art. 37, caput, e seu parágrafo 1.º da Constituição Federal, assim como afronta ao disposto no art. 73, V, da Lei Federal nº 9.504/97.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  <w:t>RESSALTA</w:t>
      </w:r>
      <w:r>
        <w:rPr>
          <w:rFonts w:cs="Arial" w:ascii="Cambria" w:hAnsi="Cambria"/>
          <w:sz w:val="24"/>
          <w:szCs w:val="24"/>
        </w:rPr>
        <w:t xml:space="preserve"> que a inobservância de tais proibições poderão dar ensejo a Representação por parte do Ministério Público Eleitoral desta zona contra os responsáveis pelo seu descumprimento, com pedido de condenação pela prática de </w:t>
      </w:r>
      <w:r>
        <w:rPr>
          <w:rFonts w:cs="Arial" w:ascii="Cambria" w:hAnsi="Cambria"/>
          <w:b/>
          <w:bCs/>
          <w:i w:val="false"/>
          <w:iCs w:val="false"/>
          <w:sz w:val="24"/>
          <w:szCs w:val="24"/>
          <w:u w:val="single"/>
        </w:rPr>
        <w:t>conduta vedada</w:t>
      </w:r>
      <w:r>
        <w:rPr>
          <w:rFonts w:cs="Arial" w:ascii="Cambria" w:hAnsi="Cambria"/>
          <w:b/>
          <w:sz w:val="24"/>
          <w:szCs w:val="24"/>
          <w:u w:val="single"/>
        </w:rPr>
        <w:t>,</w:t>
      </w:r>
      <w:r>
        <w:rPr>
          <w:rFonts w:cs="Arial" w:ascii="Cambria" w:hAnsi="Cambria"/>
          <w:sz w:val="24"/>
          <w:szCs w:val="24"/>
        </w:rPr>
        <w:t xml:space="preserve"> e, consequentemente, aplicação de multa no valor de R$ 5.320,50 (cinco mil trezentos e vinte reais e cinquenta centavos) a R$ 106.410,00 (cem e seis mil quatrocentos e dez reais), como reza o art. 73,  § 4.º da mesma Lei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120"/>
        <w:ind w:left="0" w:right="0" w:firstLine="1701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>Referida conduta poderá ainda configurar tipo legal de ato de improbidade administrativa, sujeitando o agente público às penas dispostas na Lei Federal nº 8.429/92, bem como causa de inelegibilidade a rigor do dispõe a alínea j, I, do art. 1.º, da Lei Complementar 64/90, incluída pela lei 135/2010 (Lei da Ficha Limpa).</w:t>
      </w:r>
    </w:p>
    <w:p>
      <w:pPr>
        <w:pStyle w:val="Normal"/>
        <w:spacing w:lineRule="auto" w:line="360" w:before="120" w:after="120"/>
        <w:ind w:left="0" w:right="0" w:firstLine="708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firstLine="708"/>
        <w:jc w:val="right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>Local e data.</w:t>
      </w:r>
    </w:p>
    <w:p>
      <w:pPr>
        <w:pStyle w:val="Normal"/>
        <w:spacing w:lineRule="auto" w:line="360" w:before="120" w:after="120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120" w:after="120"/>
        <w:ind w:left="680" w:right="0" w:hanging="680"/>
        <w:jc w:val="center"/>
        <w:rPr>
          <w:rFonts w:ascii="Cambria" w:hAnsi="Cambria" w:cs="Tahoma"/>
          <w:b/>
          <w:b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  <w:highlight w:val="white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3</Pages>
  <Words>708</Words>
  <Characters>3932</Characters>
  <CharactersWithSpaces>4629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2023-06-10T14:27:44Z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