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 xml:space="preserve">PRESTAÇÃO DE CONTAS - ELEIÇÕES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PARTIDO: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Trata-se de </w:t>
      </w:r>
      <w:r>
        <w:rPr>
          <w:rFonts w:ascii="Cambria" w:hAnsi="Cambria"/>
          <w:b/>
          <w:sz w:val="24"/>
          <w:szCs w:val="24"/>
        </w:rPr>
        <w:t>prestação de contas</w:t>
      </w:r>
      <w:r>
        <w:rPr>
          <w:rFonts w:ascii="Cambria" w:hAnsi="Cambria"/>
          <w:sz w:val="24"/>
          <w:szCs w:val="24"/>
        </w:rPr>
        <w:t xml:space="preserve"> apresentadas pela agremiação política requerente, referente à </w:t>
      </w:r>
      <w:r>
        <w:rPr>
          <w:rFonts w:ascii="Cambria" w:hAnsi="Cambria"/>
          <w:b/>
          <w:sz w:val="24"/>
          <w:szCs w:val="24"/>
        </w:rPr>
        <w:t>campanha eleitoral de 20__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houve impugnação no prazo legal.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As referidas contas foram submetidas ao procedimento técnico de exame da Justiça Eleitoral, não sendo constatada qualquer irregularidade que comprometesse sua higidez.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Em Parecer Técnico conclusivo, o servidor da Justiça Eleitoral apontou que a prestação de contas está apta à aprovação.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Com vista do feito, o </w:t>
      </w:r>
      <w:r>
        <w:rPr>
          <w:rFonts w:ascii="Cambria" w:hAnsi="Cambria"/>
          <w:b/>
          <w:sz w:val="24"/>
          <w:szCs w:val="24"/>
        </w:rPr>
        <w:t>Ministério Público Eleitoral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passa a oferecer o seu parecer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Compulsando o feito, é possível constatar que o partido apresentou a prestação de contas conforme exige a legislação eleitoral em vigor.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se verificou irregularidade na administração financeira da campanha, tampouco elementos que justifiquem a rejeição ou mesmo a aprovação com ressalvas.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 efeito, verifica-se que a prestação de contas reflete adequadamente a movimentação financeira apresentada e não se teve conhecimento da existência de irregularidades/omissões nas receitas ou gastos eleitorais efetuados pelo partido.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Ressalta-se que o julgamento da prestação de contas pela Justiça Eleitoral não afasta a possibilidade de apuração quanto à prática de eventuais ilícitos antecedentes e/ou vinculados, verificados no curso de investigações em andamento ou futuras, nos termos do art. 75, da Resolução TSE n. 23.607/2019, bem como a propositura de ações criminais ou cíveis, se for o caso.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Em face do exposto, manifesta-se o </w:t>
      </w:r>
      <w:r>
        <w:rPr>
          <w:rFonts w:cs="Arial" w:ascii="Cambria" w:hAnsi="Cambria"/>
          <w:b/>
          <w:color w:val="000000"/>
          <w:sz w:val="24"/>
          <w:szCs w:val="24"/>
        </w:rPr>
        <w:t>Ministério Público Eleitoral</w:t>
      </w:r>
      <w:r>
        <w:rPr>
          <w:rFonts w:cs="Arial" w:ascii="Cambria" w:hAnsi="Cambria"/>
          <w:color w:val="000000"/>
          <w:sz w:val="24"/>
          <w:szCs w:val="24"/>
        </w:rPr>
        <w:t xml:space="preserve"> pela </w:t>
      </w:r>
      <w:r>
        <w:rPr>
          <w:rFonts w:cs="Arial" w:ascii="Cambria" w:hAnsi="Cambria"/>
          <w:b/>
          <w:color w:val="000000"/>
          <w:sz w:val="24"/>
          <w:szCs w:val="24"/>
          <w:u w:val="single"/>
        </w:rPr>
        <w:t>APROVAÇÃO</w:t>
      </w:r>
      <w:r>
        <w:rPr>
          <w:rFonts w:cs="Arial" w:ascii="Cambria" w:hAnsi="Cambria"/>
          <w:b/>
          <w:color w:val="000000"/>
          <w:sz w:val="24"/>
          <w:szCs w:val="24"/>
        </w:rPr>
        <w:t xml:space="preserve"> </w:t>
      </w:r>
      <w:r>
        <w:rPr>
          <w:rFonts w:cs="Arial" w:ascii="Cambria" w:hAnsi="Cambria"/>
          <w:color w:val="000000"/>
          <w:sz w:val="24"/>
          <w:szCs w:val="24"/>
        </w:rPr>
        <w:t>das contas de campanha apresentadas, nos termos do artigo 74, inciso I, da Resolução nº 23.607/2019 do Tribunal Superior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267</Words>
  <Characters>1581</Characters>
  <CharactersWithSpaces>1831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2023-06-11T09:37:31Z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