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 xml:space="preserve">O Ministério Público Eleitoral, </w:t>
      </w:r>
      <w:r>
        <w:rPr>
          <w:rFonts w:cs="Cambria" w:ascii="Cambria" w:hAnsi="Cambria"/>
          <w:sz w:val="24"/>
          <w:szCs w:val="24"/>
        </w:rPr>
        <w:t xml:space="preserve">por meio do Promotor Eleitoral ao final assinado, no regular exercício das atribuições que lhe confere o art. 72, da Lei Complementar n. 75/93, vem à presença de V.Exa., fundado nas peças de informação anexas, oferecer </w:t>
      </w:r>
      <w:r>
        <w:rPr>
          <w:rFonts w:cs="Cambria" w:ascii="Cambria" w:hAnsi="Cambria"/>
          <w:b/>
          <w:bCs/>
          <w:sz w:val="24"/>
          <w:szCs w:val="24"/>
        </w:rPr>
        <w:t xml:space="preserve">Representação por Propaganda Eleitoral Extemporânea </w:t>
      </w:r>
      <w:r>
        <w:rPr>
          <w:rFonts w:cs="Cambria" w:ascii="Cambria" w:hAnsi="Cambria"/>
          <w:sz w:val="24"/>
          <w:szCs w:val="24"/>
        </w:rPr>
        <w:t>em face de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701" w:right="0" w:hanging="0"/>
        <w:jc w:val="both"/>
        <w:rPr/>
      </w:pPr>
      <w:r>
        <w:rPr>
          <w:rFonts w:cs="Cambria" w:ascii="Cambria" w:hAnsi="Cambria"/>
          <w:b/>
          <w:bCs/>
          <w:sz w:val="24"/>
          <w:szCs w:val="24"/>
        </w:rPr>
        <w:t>XXXXXXXX</w:t>
      </w:r>
      <w:r>
        <w:rPr>
          <w:rFonts w:cs="Cambria" w:ascii="Cambria" w:hAnsi="Cambria"/>
          <w:sz w:val="24"/>
          <w:szCs w:val="24"/>
        </w:rPr>
        <w:t>,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418" w:right="0" w:firstLine="283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Face às seguintes razões de fato e de direito: </w:t>
      </w:r>
    </w:p>
    <w:p>
      <w:pPr>
        <w:pStyle w:val="Normal"/>
        <w:spacing w:lineRule="auto" w:line="240" w:before="0" w:after="0"/>
        <w:ind w:left="0" w:right="0" w:firstLine="283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DOS FATOS.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Na data de XXXXXX, por volta das XXXX, no interior da XXXX (local), localizado na Rua XX nº XX, XXX-XX, o Representado </w:t>
      </w:r>
      <w:r>
        <w:rPr>
          <w:rFonts w:cs="Cambria" w:ascii="Cambria" w:hAnsi="Cambria"/>
          <w:b/>
          <w:sz w:val="24"/>
          <w:szCs w:val="24"/>
        </w:rPr>
        <w:t>XXX</w:t>
      </w:r>
      <w:r>
        <w:rPr>
          <w:rFonts w:cs="Cambria" w:ascii="Cambria" w:hAnsi="Cambria"/>
          <w:sz w:val="24"/>
          <w:szCs w:val="24"/>
        </w:rPr>
        <w:t xml:space="preserve"> fez campanha eleitoral antecipada (em período vedado), com menção expressa à sua condição de candidato (mesmo sem ainda sê-lo), expondo seu número de urna 15015 (mesmo ainda sem registro de sua candidatura), com pedido de votos aos servidores públicos presentes.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Na ocasião, o representado se encontrava no interior da XXXX (local) </w:t>
      </w:r>
      <w:r>
        <w:rPr>
          <w:rFonts w:cs="Cambria" w:ascii="Cambria" w:hAnsi="Cambria"/>
          <w:sz w:val="24"/>
          <w:szCs w:val="24"/>
          <w:highlight w:val="yellow"/>
        </w:rPr>
        <w:t>– narrar o contexto onde os fatos ocorreram.....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Nesse momento, o representado abordou e cumprimentou o XXXX e disse a ele e a todos os presentes no local, as testemunhas XXX e XXXX,  EU SOU CANDIDATO, MEU NÚMERO É 15015!" e asseverou: “15015”!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Ao ouvir os dizeres, o XXXX questionou se o Representado tinha certeza que iria pedir voto, tendo como resposta do representado a seguinte frase: "Tenho sim!"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Foi registrada a Notícia de Fato Eleitoral nº 00000000, que instrui a presente Representação Eleitoral, onde foram ouvidos XXXX, XXXX e XXXXX, os quais confirmaram a prática de propagada pelo representado, conforme termos anexos.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Nesse passo, pertinente transcrever as declarações prestadas por XXXXXX: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701" w:right="0" w:hanging="0"/>
        <w:jc w:val="both"/>
        <w:rPr/>
      </w:pPr>
      <w:r>
        <w:rPr>
          <w:rFonts w:cs="Cambria" w:ascii="Cambria" w:hAnsi="Cambria"/>
          <w:i/>
        </w:rPr>
        <w:t>“</w:t>
      </w:r>
      <w:r>
        <w:rPr>
          <w:rFonts w:cs="Cambria" w:ascii="Cambria" w:hAnsi="Cambria"/>
          <w:i/>
        </w:rPr>
        <w:t>XXXXX”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Nesse contexto, o representado </w:t>
      </w:r>
      <w:r>
        <w:rPr>
          <w:rFonts w:cs="Cambria" w:ascii="Cambria" w:hAnsi="Cambria"/>
          <w:b/>
          <w:sz w:val="24"/>
          <w:szCs w:val="24"/>
        </w:rPr>
        <w:t xml:space="preserve">fez pedido explícito de voto fazendo </w:t>
      </w:r>
      <w:r>
        <w:rPr>
          <w:rFonts w:cs="Cambria" w:ascii="Cambria" w:hAnsi="Cambria"/>
          <w:b/>
          <w:bCs/>
          <w:sz w:val="24"/>
          <w:szCs w:val="24"/>
        </w:rPr>
        <w:t>alusão a candidatura</w:t>
      </w:r>
      <w:r>
        <w:rPr>
          <w:rFonts w:cs="Cambria" w:ascii="Cambria" w:hAnsi="Cambria"/>
          <w:sz w:val="24"/>
          <w:szCs w:val="24"/>
        </w:rPr>
        <w:t xml:space="preserve"> e a seu </w:t>
      </w:r>
      <w:r>
        <w:rPr>
          <w:rFonts w:cs="Cambria" w:ascii="Cambria" w:hAnsi="Cambria"/>
          <w:b/>
          <w:sz w:val="24"/>
          <w:szCs w:val="24"/>
        </w:rPr>
        <w:t>número de urna</w:t>
      </w:r>
      <w:r>
        <w:rPr>
          <w:rFonts w:cs="Cambria" w:ascii="Cambria" w:hAnsi="Cambria"/>
          <w:sz w:val="24"/>
          <w:szCs w:val="24"/>
        </w:rPr>
        <w:t>, violando o art. 36-A, da Lei 9.504/97.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O representado se apresentou frente a eleitorado como sendo </w:t>
      </w:r>
      <w:r>
        <w:rPr>
          <w:rFonts w:cs="Cambria" w:ascii="Cambria" w:hAnsi="Cambria"/>
          <w:b/>
          <w:bCs/>
          <w:sz w:val="24"/>
          <w:szCs w:val="24"/>
        </w:rPr>
        <w:t>"CANDIDATO"</w:t>
      </w:r>
      <w:r>
        <w:rPr>
          <w:rFonts w:cs="Cambria" w:ascii="Cambria" w:hAnsi="Cambria"/>
          <w:sz w:val="24"/>
          <w:szCs w:val="24"/>
        </w:rPr>
        <w:t xml:space="preserve"> seguido do número de urna </w:t>
      </w:r>
      <w:r>
        <w:rPr>
          <w:rFonts w:cs="Cambria" w:ascii="Cambria" w:hAnsi="Cambria"/>
          <w:b/>
          <w:bCs/>
          <w:sz w:val="24"/>
          <w:szCs w:val="24"/>
        </w:rPr>
        <w:t>"15015</w:t>
      </w:r>
      <w:r>
        <w:rPr>
          <w:rFonts w:cs="Cambria" w:ascii="Cambria" w:hAnsi="Cambria"/>
          <w:sz w:val="24"/>
          <w:szCs w:val="24"/>
        </w:rPr>
        <w:t xml:space="preserve">", com a reiteração imediata do número de urna </w:t>
      </w:r>
      <w:r>
        <w:rPr>
          <w:rFonts w:cs="Cambria" w:ascii="Cambria" w:hAnsi="Cambria"/>
          <w:b/>
          <w:bCs/>
          <w:sz w:val="24"/>
          <w:szCs w:val="24"/>
        </w:rPr>
        <w:t>"15015</w:t>
      </w:r>
      <w:r>
        <w:rPr>
          <w:rFonts w:cs="Cambria" w:ascii="Cambria" w:hAnsi="Cambria"/>
          <w:sz w:val="24"/>
          <w:szCs w:val="24"/>
        </w:rPr>
        <w:t>". E após inquirição de XXXX sobre a certeza em incorrer no ilícito, reafirmou o seu intento. Assim, não restam dúvidas de que se trata de propaganda eleitoral extemporânea.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DO DIREITO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b/>
          <w:b/>
          <w:sz w:val="24"/>
          <w:szCs w:val="24"/>
        </w:rPr>
      </w:pPr>
      <w:r>
        <w:rPr>
          <w:rFonts w:cs="Cambria" w:ascii="Cambria" w:hAnsi="Cambria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Como se sabe, a propaganda eleitoral </w:t>
      </w:r>
      <w:r>
        <w:rPr>
          <w:rFonts w:cs="Cambria" w:ascii="Cambria" w:hAnsi="Cambria"/>
          <w:b/>
          <w:bCs/>
          <w:sz w:val="24"/>
          <w:szCs w:val="24"/>
        </w:rPr>
        <w:t>só é permitida após 15 de agosto do ano da eleição</w:t>
      </w:r>
      <w:r>
        <w:rPr>
          <w:rFonts w:cs="Cambria" w:ascii="Cambria" w:hAnsi="Cambria"/>
          <w:sz w:val="24"/>
          <w:szCs w:val="24"/>
        </w:rPr>
        <w:t>. Antes disso, qualquer mensagem levada ao conhecimento do eleitor, com pedido de voto, caracteriza a infração cível eleitoral tipificada no artigo 36, §3º, da Lei 9.504/97, sancionada com multa. Vejamos:</w:t>
      </w:r>
    </w:p>
    <w:p>
      <w:pPr>
        <w:pStyle w:val="Normal"/>
        <w:spacing w:lineRule="auto" w:line="240" w:before="0" w:after="0"/>
        <w:ind w:left="0" w:right="0" w:firstLine="1418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i/>
          <w:iCs/>
          <w:color w:val="000000"/>
          <w:sz w:val="22"/>
          <w:szCs w:val="22"/>
        </w:rPr>
        <w:t>§ 3</w:t>
      </w:r>
      <w:r>
        <w:rPr>
          <w:rFonts w:cs="Cambria" w:ascii="Cambria" w:hAnsi="Cambria"/>
          <w:i/>
          <w:iCs/>
          <w:color w:val="000000"/>
          <w:sz w:val="22"/>
          <w:szCs w:val="22"/>
          <w:u w:val="single"/>
          <w:vertAlign w:val="superscript"/>
        </w:rPr>
        <w:t>o</w:t>
      </w:r>
      <w:r>
        <w:rPr>
          <w:rFonts w:cs="Cambria" w:ascii="Cambria" w:hAnsi="Cambria"/>
          <w:i/>
          <w:iCs/>
          <w:color w:val="000000"/>
          <w:sz w:val="22"/>
          <w:szCs w:val="22"/>
        </w:rPr>
        <w:t>  A violação do disposto neste artigo sujeitará o responsável pela divulgação da propaganda e, quando comprovado o seu prévio conhecimento, o beneficiário à multa no valor de R$ 5.000,00 (cinco mil reais) a R$ 25.000,00 (vinte e cinco mil reais), ou ao equivalente ao custo da propaganda, se este for maior  </w:t>
      </w:r>
      <w:hyperlink r:id="rId2">
        <w:r>
          <w:rPr>
            <w:rStyle w:val="LinkdaInternet"/>
            <w:rFonts w:cs="Cambria" w:ascii="Cambria" w:hAnsi="Cambria"/>
            <w:i/>
            <w:iCs/>
            <w:color w:val="0000FF"/>
            <w:sz w:val="22"/>
            <w:szCs w:val="22"/>
            <w:u w:val="single"/>
          </w:rPr>
          <w:t>(Redação dada pela Lei nº 12.034, de 2009)</w:t>
        </w:r>
      </w:hyperlink>
    </w:p>
    <w:p>
      <w:pPr>
        <w:pStyle w:val="Normal"/>
        <w:spacing w:lineRule="auto" w:line="240" w:before="0" w:after="0"/>
        <w:ind w:left="0" w:right="0" w:firstLine="1418"/>
        <w:jc w:val="both"/>
        <w:rPr>
          <w:rFonts w:ascii="Cambria" w:hAnsi="Cambria" w:cs="Cambria"/>
          <w:sz w:val="22"/>
          <w:szCs w:val="22"/>
        </w:rPr>
      </w:pPr>
      <w:r>
        <w:rPr>
          <w:rFonts w:cs="Cambria" w:ascii="Cambria" w:hAnsi="Cambria"/>
          <w:sz w:val="22"/>
          <w:szCs w:val="22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E outro lado, bom lembrar que a propaganda lançada pelo Representado não se alinha a nenhuma das </w:t>
      </w:r>
      <w:r>
        <w:rPr>
          <w:rFonts w:cs="Cambria" w:ascii="Cambria" w:hAnsi="Cambria"/>
          <w:b/>
          <w:bCs/>
          <w:sz w:val="24"/>
          <w:szCs w:val="24"/>
          <w:u w:val="single"/>
        </w:rPr>
        <w:t>exceções previstas no art. 36-A</w:t>
      </w:r>
      <w:r>
        <w:rPr>
          <w:rFonts w:cs="Cambria" w:ascii="Cambria" w:hAnsi="Cambria"/>
          <w:sz w:val="24"/>
          <w:szCs w:val="24"/>
        </w:rPr>
        <w:t xml:space="preserve">, da dita Lei das Eleições, posto que não se trata de entrevista, encontro ou programa no rádio, TV ou internet (inciso I); nem de encontros, seminários ou congressos em ambiente fechado do partido político (inciso II), tão pouco de prévias partidárias e sua divulgação interna (inciso III). Também, não é divulgação de atos parlamentares e debates legislativos (inciso IV), nem divulgação de posicionamento pessoal sobre questões políticas em redes sociais (inciso V) e, finalmente, de reuniões para divulgação de ideias, objetivos e propostas partidárias (inciso VI). 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No caso em testilha, houve alusão a candidatura e pedido explícito de voto. É que o representado se apresentou como sendo candidato e por duas vezes disse o número de urna, tudo isso em tom eloquente e impondo seu número e condição de concorrente no pleito eleitoral aos demais presentes.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Oportuno transcrever o valioso ensinamento sobre a matéria, colhido da doutrina de Édson Resende de Castro:</w:t>
      </w:r>
    </w:p>
    <w:p>
      <w:pPr>
        <w:pStyle w:val="Normal"/>
        <w:spacing w:lineRule="auto" w:line="240" w:before="0" w:after="0"/>
        <w:ind w:left="1560" w:right="-1" w:hanging="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i/>
          <w:iCs/>
          <w:sz w:val="22"/>
          <w:szCs w:val="22"/>
        </w:rPr>
        <w:t>“</w:t>
      </w:r>
      <w:r>
        <w:rPr>
          <w:rFonts w:cs="Cambria" w:ascii="Cambria" w:hAnsi="Cambria"/>
          <w:i/>
          <w:iCs/>
          <w:sz w:val="22"/>
          <w:szCs w:val="22"/>
        </w:rPr>
        <w:t>As alterações introduzidas pela Lei n. 13.165/2015 no art. 36-A, permitindo que a pré-campanha veicule a pretensa candidatura e exalte as qualidades pessoais do pré-candidato (caput) e anuncie as ações políticas desenvolvidas e a desenvolver (§ 2º</w:t>
      </w:r>
      <w:r>
        <w:rPr>
          <w:rFonts w:cs="Cambria" w:ascii="Cambria" w:hAnsi="Cambria"/>
          <w:b/>
          <w:i/>
          <w:iCs/>
          <w:sz w:val="22"/>
          <w:szCs w:val="22"/>
        </w:rPr>
        <w:t>), tudo desde que não haja pedido expresso de voto, ao contrário do que sugere uma leitura mais apressada, não autoriza a conclusão de que a propaganda eleitoral extemporânea deixou de ser censurada, ou deixou de existir, ou que só existirá a infração se a mensagem contiver pedido explícito de vot</w:t>
      </w:r>
      <w:r>
        <w:rPr>
          <w:rFonts w:cs="Cambria" w:ascii="Cambria" w:hAnsi="Cambria"/>
          <w:i/>
          <w:iCs/>
          <w:sz w:val="22"/>
          <w:szCs w:val="22"/>
        </w:rPr>
        <w:t xml:space="preserve">o. Na verdade, percebe-se que o legislador, ainda com a Lei n. 13.165/2015, reafirma a necessidade de a campanha eleitoral comportar-se dentro de um período certo (que até então era de 06 de julho à véspera da eleição e, agora, passa a ser a partir de 16 de agosto, conforme nova redação dada ao “caput” do art. 36), o que, por si só, já imporia – ainda que não houvesse a expressa tipificação da conduta, no § 3º, como infração cível eleitoral – a proibição implícita de qualquer ato de propaganda antes daquela data. Como tudo isso (data inicial da propaganda e sanção à sua antecipação), repita-se, foi mantido com a reforma eleitoral de 2015, não há como, numa visão sistêmica do conjunto normativo que regula a propaganda eleitoral, interpretar a nova redação do art. 36-A como autorizativa de qualquer propaganda eleitoral antes de 16 de agosto. Ao revés, </w:t>
      </w:r>
      <w:r>
        <w:rPr>
          <w:rFonts w:cs="Cambria" w:ascii="Cambria" w:hAnsi="Cambria"/>
          <w:b/>
          <w:bCs/>
          <w:i/>
          <w:iCs/>
          <w:sz w:val="22"/>
          <w:szCs w:val="22"/>
        </w:rPr>
        <w:t>percebe-se com clareza que o dito art. 36-A enumera os ambientes em que o projeto eleitoral do filiado, ou pré-candidato, pode ser tornado público</w:t>
      </w:r>
      <w:r>
        <w:rPr>
          <w:rFonts w:cs="Cambria" w:ascii="Cambria" w:hAnsi="Cambria"/>
          <w:i/>
          <w:iCs/>
          <w:sz w:val="22"/>
          <w:szCs w:val="22"/>
        </w:rPr>
        <w:t xml:space="preserve"> (em entrevistas, programas e encontros: inciso I; em seminários, congressos e prévias partidárias: incisos II e III; e nas redes sociais: inciso V) e </w:t>
      </w:r>
      <w:r>
        <w:rPr>
          <w:rFonts w:cs="Cambria" w:ascii="Cambria" w:hAnsi="Cambria"/>
          <w:b/>
          <w:bCs/>
          <w:i/>
          <w:iCs/>
          <w:sz w:val="22"/>
          <w:szCs w:val="22"/>
        </w:rPr>
        <w:t>aponta o conteúdo da divulgação</w:t>
      </w:r>
      <w:r>
        <w:rPr>
          <w:rFonts w:cs="Cambria" w:ascii="Cambria" w:hAnsi="Cambria"/>
          <w:i/>
          <w:iCs/>
          <w:sz w:val="22"/>
          <w:szCs w:val="22"/>
        </w:rPr>
        <w:t xml:space="preserve"> (menção à pretensa candidatura, exaltação de qualidades pessoais: “caput” e ações políticas desenvolvidas e a desenvolver: § 2º), para sinalizar que nestes casos “não configuram propaganda eleitoral extemporânea” (“caput” do art. 36-A), porque, em verdade, devem ser manifestações espontâneas, naturais ao momento de preparação para a corrida eleitoral e da intensa especulação nos meios de comunicação. A realidade mostra que é impossível o pré-candidato não dizer, em meio a uma entrevista, v.gr., que disputará a eleição e que tem estes e aqueles projetos para o caso de assumir o mandato eletivo. E a exposição dessas ideias, como já dito, nada tem de inconveniente ao processo eleitoral, até porque já vai possibilitando ao eleitor conhecer as potencialidades de cada concorrente. "</w:t>
      </w:r>
      <w:r>
        <w:rPr>
          <w:rStyle w:val="Ncoradanotaderodap"/>
          <w:rStyle w:val="Ncoradanotaderodap"/>
          <w:rFonts w:cs="Cambria" w:ascii="Cambria" w:hAnsi="Cambria"/>
          <w:sz w:val="22"/>
          <w:szCs w:val="22"/>
          <w:vertAlign w:val="superscript"/>
        </w:rPr>
        <w:footnoteReference w:id="2"/>
      </w:r>
    </w:p>
    <w:p>
      <w:pPr>
        <w:pStyle w:val="Normal"/>
        <w:spacing w:lineRule="auto" w:line="240" w:before="0" w:after="0"/>
        <w:ind w:left="1701" w:right="-1" w:hanging="0"/>
        <w:jc w:val="both"/>
        <w:rPr>
          <w:rFonts w:ascii="Cambria" w:hAnsi="Cambria" w:cs="Cambria"/>
        </w:rPr>
      </w:pPr>
      <w:r>
        <w:rPr>
          <w:rFonts w:cs="Cambria" w:ascii="Cambria" w:hAnsi="Cambria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/>
      </w:pPr>
      <w:r>
        <w:rPr>
          <w:rFonts w:cs="Cambria" w:ascii="Cambria" w:hAnsi="Cambria"/>
          <w:sz w:val="24"/>
          <w:szCs w:val="24"/>
        </w:rPr>
        <w:t xml:space="preserve">Já </w:t>
      </w:r>
      <w:bookmarkStart w:id="0" w:name="_Hlk51403942"/>
      <w:r>
        <w:rPr>
          <w:rFonts w:cs="Cambria" w:ascii="Cambria" w:hAnsi="Cambria"/>
          <w:sz w:val="24"/>
          <w:szCs w:val="24"/>
        </w:rPr>
        <w:t xml:space="preserve">José Jairo Gomes </w:t>
      </w:r>
      <w:bookmarkEnd w:id="0"/>
      <w:r>
        <w:rPr>
          <w:rFonts w:cs="Cambria" w:ascii="Cambria" w:hAnsi="Cambria"/>
          <w:sz w:val="24"/>
          <w:szCs w:val="24"/>
        </w:rPr>
        <w:t>lança as seguintes considerações acerca de propaganda antecipada e suas hipóteses: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i/>
          <w:iCs/>
          <w:sz w:val="22"/>
          <w:szCs w:val="22"/>
        </w:rPr>
        <w:t>“</w:t>
      </w:r>
      <w:r>
        <w:rPr>
          <w:rFonts w:cs="Cambria" w:ascii="Cambria" w:hAnsi="Cambria"/>
          <w:i/>
          <w:iCs/>
          <w:sz w:val="22"/>
          <w:szCs w:val="22"/>
        </w:rPr>
        <w:t>A publicidade em apreço caracteriza-se pela atração ou captação antecipada de votos, o que pode ferir a igualdade de oportunidade entre os candidatos e desequilibrar campanhas;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i/>
          <w:iCs/>
          <w:sz w:val="22"/>
          <w:szCs w:val="22"/>
        </w:rPr>
        <w:t xml:space="preserve">Tal como ocorre com a propaganda eleitoral em geral, pode a propaganda antecipada ser expressa ou subliminar. É árdua a identificação da propaganda antecipada subliminar, pois seu conteúdo é sempre veiculado de maneira implícita ou subjacente, no mais das vezes resultando do contexto de comunicação. Já se intentou estabelecer critérios objetivos mínimos para a sua identificação, tendo sido apontados os seguintes: 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</w:rPr>
        <w:t>(i) alusão a processo eleitoral, externada pela menção a nome do pretenso candidato ou candidatura;</w:t>
      </w:r>
      <w:r>
        <w:rPr>
          <w:rFonts w:cs="Cambria" w:ascii="Cambria" w:hAnsi="Cambria"/>
          <w:i/>
          <w:iCs/>
          <w:sz w:val="22"/>
          <w:szCs w:val="22"/>
        </w:rPr>
        <w:t xml:space="preserve"> (ii) exaltação de suas qualidades, procurando inculcar a ideia de que é o melhor para o cargo almejado; (</w:t>
      </w:r>
      <w:r>
        <w:rPr>
          <w:rFonts w:cs="Cambria" w:ascii="Cambria" w:hAnsi="Cambria"/>
          <w:b/>
          <w:i/>
          <w:iCs/>
          <w:sz w:val="22"/>
          <w:szCs w:val="22"/>
          <w:u w:val="single"/>
        </w:rPr>
        <w:t>iii) pedido de voto, ainda que implícito;</w:t>
      </w:r>
      <w:r>
        <w:rPr>
          <w:rFonts w:cs="Cambria" w:ascii="Cambria" w:hAnsi="Cambria"/>
          <w:i/>
          <w:iCs/>
          <w:sz w:val="22"/>
          <w:szCs w:val="22"/>
        </w:rPr>
        <w:t xml:space="preserve"> (iv) ações políticas que pretende implementar.”</w:t>
      </w:r>
      <w:r>
        <w:rPr>
          <w:rStyle w:val="Ncoradanotaderodap"/>
          <w:rStyle w:val="Ncoradanotaderodap"/>
          <w:rFonts w:cs="Cambria" w:ascii="Cambria" w:hAnsi="Cambria"/>
          <w:i/>
          <w:iCs/>
          <w:sz w:val="22"/>
          <w:szCs w:val="22"/>
          <w:vertAlign w:val="superscript"/>
        </w:rPr>
        <w:footnoteReference w:id="3"/>
      </w:r>
    </w:p>
    <w:p>
      <w:pPr>
        <w:pStyle w:val="Normal"/>
        <w:spacing w:lineRule="auto" w:line="240" w:before="0" w:after="0"/>
        <w:ind w:left="1701" w:right="-1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bCs/>
          <w:sz w:val="24"/>
          <w:szCs w:val="24"/>
        </w:rPr>
      </w:pPr>
      <w:r>
        <w:rPr>
          <w:rFonts w:cs="Cambria" w:ascii="Cambria" w:hAnsi="Cambria"/>
          <w:bCs/>
          <w:sz w:val="24"/>
          <w:szCs w:val="24"/>
        </w:rPr>
        <w:t>Importante registrar, ainda, a evolução da jurisprudência do TSE sobre a matéria:</w:t>
      </w:r>
    </w:p>
    <w:p>
      <w:pPr>
        <w:pStyle w:val="Normal"/>
        <w:spacing w:lineRule="auto" w:line="240" w:before="0" w:after="0"/>
        <w:ind w:left="1701" w:right="-1" w:hanging="0"/>
        <w:jc w:val="both"/>
        <w:rPr>
          <w:rFonts w:ascii="Cambria" w:hAnsi="Cambria" w:cs="Cambria"/>
          <w:i/>
          <w:i/>
          <w:iCs/>
          <w:sz w:val="24"/>
          <w:szCs w:val="24"/>
        </w:rPr>
      </w:pPr>
      <w:r>
        <w:rPr>
          <w:rFonts w:cs="Cambria" w:ascii="Cambria" w:hAnsi="Cambria"/>
          <w:i/>
          <w:iCs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2268" w:right="0" w:hanging="0"/>
        <w:jc w:val="both"/>
        <w:rPr/>
      </w:pPr>
      <w:r>
        <w:rPr>
          <w:rFonts w:cs="Cambria" w:ascii="Cambria" w:hAnsi="Cambria"/>
          <w:i/>
          <w:iCs/>
          <w:sz w:val="22"/>
          <w:szCs w:val="22"/>
        </w:rPr>
        <w:t>"DIREITO ELEITORAL. AGRAVO INTERNO EM RECURSO ESPECIAL ELEITORAL COM AGRAVO. ELEIÇÕES 2018. PROPAGANDA ELEITORAL ANTECIPADA. NÃO CONFIGURAÇÃO. DESPROVIMENTO.1. Agravo interno contra decisão monocrática que negou seguimento a agravo nos próprios autos interposto para impugnar decisão de inadmissão de recurso especial eleitoral.2. Na análise de casos de propaganda eleitoral antecipada, é necessário, em primeiro lugar, determinar se a mensagem veiculada tem conteúdo eleitoral, isto é, relacionado com a disputa.3. Reconhecido o caráter eleitoral da propaganda, deve–se observar três parâmetros alternativos para concluir pela existência de propaganda eleitoral antecipada ilícita: (i)</w:t>
      </w:r>
      <w:r>
        <w:rPr>
          <w:rFonts w:cs="Cambria" w:ascii="Cambria" w:hAnsi="Cambria"/>
          <w:b/>
          <w:bCs/>
          <w:i/>
          <w:iCs/>
          <w:sz w:val="22"/>
          <w:szCs w:val="22"/>
          <w:u w:val="single"/>
        </w:rPr>
        <w:t xml:space="preserve"> a presença de pedido explícito de voto; (ii) a utilização de formas proscritas durante o período oficial de propaganda</w:t>
      </w:r>
      <w:r>
        <w:rPr>
          <w:rFonts w:cs="Cambria" w:ascii="Cambria" w:hAnsi="Cambria"/>
          <w:i/>
          <w:iCs/>
          <w:sz w:val="22"/>
          <w:szCs w:val="22"/>
        </w:rPr>
        <w:t>; ou  (iii) a violação ao princípio da igualdade de oportunidades entre os candidatos.4. [...]. Agravo interno a que se nega provimento."</w:t>
      </w:r>
      <w:r>
        <w:rPr>
          <w:rFonts w:cs="Cambria" w:ascii="Cambria" w:hAnsi="Cambria"/>
          <w:sz w:val="22"/>
          <w:szCs w:val="22"/>
        </w:rPr>
        <w:t xml:space="preserve"> (TSE, Agravo de Instrumento nº 060009124, Acórdão, Relator(a) Min. Luís Roberto Barroso, Publicação:  DJE - Diário de justiça eletrônico, Tomo 25, Data 05/02/2020) – Grifos nossos.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Portanto, a alusão de que seria candidato com a menção de número de urna seguido também de pedido de voto, consiste em conduta que deve ser rechaçada pela Justiça Eleitoral, por se tratar de evidente propaganda extemporânea. </w:t>
      </w:r>
    </w:p>
    <w:p>
      <w:pPr>
        <w:pStyle w:val="Normal"/>
        <w:spacing w:lineRule="auto" w:line="240" w:before="0" w:after="0"/>
        <w:ind w:left="0" w:right="0" w:firstLine="1701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88" w:before="0" w:after="0"/>
        <w:ind w:left="1701" w:right="0" w:hanging="0"/>
        <w:jc w:val="both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</w:r>
    </w:p>
    <w:p>
      <w:pPr>
        <w:pStyle w:val="Normal"/>
        <w:spacing w:lineRule="auto" w:line="288" w:before="0" w:after="0"/>
        <w:ind w:left="1701" w:right="0" w:hanging="0"/>
        <w:jc w:val="both"/>
        <w:rPr>
          <w:rFonts w:ascii="Cambria" w:hAnsi="Cambria" w:cs="Cambria"/>
          <w:b/>
          <w:b/>
          <w:sz w:val="24"/>
          <w:szCs w:val="24"/>
          <w:u w:val="single"/>
        </w:rPr>
      </w:pPr>
      <w:r>
        <w:rPr>
          <w:rFonts w:cs="Cambria" w:ascii="Cambria" w:hAnsi="Cambria"/>
          <w:b/>
          <w:sz w:val="24"/>
          <w:szCs w:val="24"/>
          <w:u w:val="single"/>
        </w:rPr>
        <w:t>PEDIDO.</w:t>
      </w:r>
    </w:p>
    <w:p>
      <w:pPr>
        <w:pStyle w:val="Normal"/>
        <w:spacing w:lineRule="auto" w:line="288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88" w:before="0" w:after="0"/>
        <w:ind w:left="1701" w:right="0" w:hanging="0"/>
        <w:jc w:val="both"/>
        <w:rPr/>
      </w:pPr>
      <w:r>
        <w:rPr>
          <w:rFonts w:cs="Cambria" w:ascii="Cambria" w:hAnsi="Cambria"/>
          <w:sz w:val="24"/>
          <w:szCs w:val="24"/>
        </w:rPr>
        <w:t xml:space="preserve">Ante todo exposto, o </w:t>
      </w:r>
      <w:r>
        <w:rPr>
          <w:rFonts w:cs="Cambria" w:ascii="Cambria" w:hAnsi="Cambria"/>
          <w:b/>
          <w:bCs/>
          <w:sz w:val="24"/>
          <w:szCs w:val="24"/>
        </w:rPr>
        <w:t>Ministério Público Eleitoral</w:t>
      </w:r>
      <w:r>
        <w:rPr>
          <w:rFonts w:cs="Cambria" w:ascii="Cambria" w:hAnsi="Cambria"/>
          <w:sz w:val="24"/>
          <w:szCs w:val="24"/>
        </w:rPr>
        <w:t xml:space="preserve"> requer: </w:t>
      </w:r>
    </w:p>
    <w:p>
      <w:pPr>
        <w:pStyle w:val="Normal"/>
        <w:spacing w:lineRule="auto" w:line="288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88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1) Seja a presente recebida e autuada;</w:t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>2) Seja o Representado notificado a apresentar defesa, no prazo de 48 horas, na forma do art. 96, da Lei n. 9.504/97;</w:t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  <w:t xml:space="preserve">3) Caso este juízo entenda pertinente a colheita da prova oral em audiência, arrola desde já as seguintes testemunhas: XXX, XXX, XXXX. </w:t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240" w:before="0" w:after="0"/>
        <w:ind w:left="1701" w:right="0" w:hanging="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4</w:t>
      </w:r>
      <w:r>
        <w:rPr>
          <w:rFonts w:cs="Arial" w:ascii="Cambria" w:hAnsi="Cambria"/>
          <w:b/>
          <w:bCs/>
          <w:color w:val="000000"/>
          <w:sz w:val="24"/>
          <w:szCs w:val="24"/>
        </w:rPr>
        <w:t>) Ao final, seja julgada procedente a Representação para condenar o Representado ao pagamento da multa prevista no art. 36, § 3º, da Lei n. 9.504/97, em patamar não inferior a XXXXX.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3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 xml:space="preserve"> </w:t>
      </w:r>
      <w:r>
        <w:rPr/>
        <w:t xml:space="preserve">CASTRO, Edson de Resende. </w:t>
      </w:r>
      <w:r>
        <w:rPr>
          <w:i/>
          <w:iCs/>
        </w:rPr>
        <w:t>Curso de Direito Eleitoral</w:t>
      </w:r>
      <w:r>
        <w:rPr/>
        <w:t>, Editora Del Rey, 8ª edição, 2016 – Grifos nossos.</w:t>
      </w:r>
    </w:p>
  </w:footnote>
  <w:footnote w:id="3">
    <w:p>
      <w:pPr>
        <w:pStyle w:val="Notaderodap"/>
        <w:rPr/>
      </w:pPr>
      <w:r>
        <w:rPr>
          <w:rStyle w:val="Caracteresdenotaderodap"/>
        </w:rPr>
        <w:footnoteRef/>
      </w:r>
      <w:r>
        <w:rPr/>
        <w:tab/>
        <w:t xml:space="preserve"> </w:t>
      </w:r>
      <w:r>
        <w:rPr/>
        <w:t>GOMES, José Jairo. Direito Eleitoral. 13 ed – São Paulo: Atlas, 2017.p. 498/499 -Grifos nossos.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analto.gov.br/ccivil_03/_Ato2007-2010/2009/Lei/L12034.htm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5</Pages>
  <Words>1506</Words>
  <Characters>8100</Characters>
  <CharactersWithSpaces>9584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2023-06-07T20:29:48Z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