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0" w:right="-255"/>
        <w:jc w:val="center"/>
      </w:pPr>
      <w:r>
        <w:rPr/>
      </w:r>
    </w:p>
    <w:p>
      <w:pPr>
        <w:pStyle w:val="style0"/>
        <w:ind w:hanging="0" w:left="0" w:right="-255"/>
        <w:jc w:val="center"/>
      </w:pPr>
      <w:r>
        <w:rPr/>
        <w:t>LOGOMARCA</w:t>
      </w:r>
    </w:p>
    <w:p>
      <w:pPr>
        <w:pStyle w:val="style0"/>
        <w:ind w:hanging="0" w:left="0" w:right="-255"/>
        <w:jc w:val="center"/>
      </w:pPr>
      <w:r>
        <w:rPr/>
      </w:r>
    </w:p>
    <w:p>
      <w:pPr>
        <w:pStyle w:val="style0"/>
        <w:ind w:hanging="0" w:left="0" w:right="-255"/>
        <w:jc w:val="center"/>
      </w:pPr>
      <w:r>
        <w:rPr/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center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center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center"/>
      </w:pPr>
      <w:r>
        <w:rPr>
          <w:b/>
          <w:bCs/>
          <w:sz w:val="24"/>
          <w:szCs w:val="24"/>
        </w:rPr>
        <w:t>RESOLUÇÃO Nº 001/201_____</w:t>
      </w:r>
      <w:r>
        <w:rPr>
          <w:sz w:val="24"/>
          <w:szCs w:val="24"/>
        </w:rPr>
        <w:t xml:space="preserve"> 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b/>
          <w:bCs/>
          <w:sz w:val="24"/>
          <w:szCs w:val="24"/>
        </w:rPr>
        <w:t>O CONSELHO MUNICIPAL DOS DIREITOS DA CRIANÇA E DO ADOLESCENTE DE xxxxxxxxxxx-TO</w:t>
      </w:r>
      <w:r>
        <w:rPr>
          <w:sz w:val="24"/>
          <w:szCs w:val="24"/>
        </w:rPr>
        <w:t>, reunido no dia xxxxx de xxxx de 20xx, no uso de suas atribuições e tendo em vista o que dispõe a Lei Municipal nº xxxxxxxxxxx, aprova a presente RESOLUÇÃO, estabelecendo normas para a realização do processo de escolha para composição do CONSELHO TUTELAR DO MUNICÍPIO: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b/>
          <w:bCs/>
          <w:sz w:val="24"/>
          <w:szCs w:val="24"/>
        </w:rPr>
        <w:t>CAPÍTULO I - DISPOSIÇÕES GERAIS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1º - A escolha de 05 (cinco) membros efetivos e 05 (cinco) suplentes do Conselho Tutelar será feita através de sufrágio universal, por voto direto, secreto e facultativo dos cidadãos maiores de 16 anos, inscritos como eleitores do Município de xxxxxxxxxxxxxxxx até 03 meses antes da data da votação, conforme lista fornecida pela Justiça Eleitoral.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Para votar o eleitor poderá identificar-se com o título de eleitor e documento de identidade ou carteira de trabalho.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2º - Cada eleitor poderá votar em 01 (um) candidato.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3º- Serão considerados eleitos os 05 (cinco) candidatos mais votados, e suplentes serão os 05 (cinco) seguintes.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Havendo empate, será considerado eleito o candidato  o mais idoso; persistindo o empate, prevalecerá aquele que obtiver maior nota na prova.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4º - O mandato dos conselheiros será de menos 03 (três) anos,  levando em consideração a eleição unificada em 2015,  permitida uma reeleição.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b/>
          <w:bCs/>
          <w:sz w:val="24"/>
          <w:szCs w:val="24"/>
        </w:rPr>
        <w:t>CAPÍTULO II - DA COMISSÃO ORGANIZADORA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Art. 5º - No prazo de 01 (um) dia a partir da publicação desta Resolução, o Presidente do CMDCA tomará as seguintes providências, dando a necessária publicidade: </w:t>
      </w:r>
    </w:p>
    <w:p>
      <w:pPr>
        <w:pStyle w:val="style0"/>
        <w:numPr>
          <w:ilvl w:val="0"/>
          <w:numId w:val="1"/>
        </w:numPr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Nomeará e integrará a Comissão Organizadora do processo de escolha, previamente constituída pelo Conselho, </w:t>
      </w:r>
      <w:r>
        <w:rPr>
          <w:b/>
          <w:sz w:val="24"/>
          <w:szCs w:val="24"/>
        </w:rPr>
        <w:t xml:space="preserve">composto de 06 (seis) membros, pertencentes ao CMDCA, </w:t>
      </w:r>
      <w:r>
        <w:rPr>
          <w:sz w:val="24"/>
          <w:szCs w:val="24"/>
        </w:rPr>
        <w:t>que atuarão sob sua presidência;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Art. 6º - Caberá à Comissão Organizadora: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 - Providenciar a publicação em jornal local e a afixação em locais de fácil acesso ao público de todos os atos referentes ao processo de escolha, podendo ainda divulgação do processo com uso de carro de som 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II - Receber e registrar as inscrições dos candidatos;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III - Providenciar relações nominais de todos os eleitores junto à justiça eleitoral e dos candidatos inscritos, publicando edital com os nomes destes, para fins de eventuais impugnações;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IV - Receber, apreciar e julgar as impugnações relativas aos candidatos inscritos, com recurso para o CMDCA;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V - Constituir as mesas receptoras de votos, tantas quantas forem necessárias, designando e credenciando seus membros, em número mínimo de 04 (quatro), dentre pessoas de reconhecida idoneidade, e distribuindo as listas de eleitores pertinentes às respectivas seções eleitorais, que poderão ser agrupadas, realizando-se prévia e ampla divulgação;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VI - Afixar relação dos candidatos registrados nas cabines de votação;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VII -Designar os componentes das juntas apuradoras, em número mínimo de 04 (quatro), dentre pessoas de reconhecida idoneidade;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VIII - Credenciar os fiscais indicados pelos candidatos;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IX - Tomar as providências para a elaboração e aplicação da prova de conhecimentos do ECA, diligenciando o material necessário e os locais, agendando  datas,  horários e fazendo as comunicações necessárias.;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X - Agendar, dentro do período permitido por esta Resolução, debates, palestras e reuniões junto às escolas, associações, órgãos de imprensa e comunidade em geral, visando à máxima divulgação das candidaturas e do próprio processo de escolha. 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XI - Dar ciência ao representante do Ministério Público de todos os atos do processo de escolha.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b/>
          <w:bCs/>
          <w:sz w:val="24"/>
          <w:szCs w:val="24"/>
        </w:rPr>
        <w:t>CAPÍTULO III - DA INSCRIÇÃO E REGISTRO DOS CANDIDATOS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7º - Podem inscrever-se todos os interessados que preencham os seguintes requisitos: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 - reconhecida idoneidade moral, comprovada através de atestado de antecedentes firmado pela autoridade policial;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II - não ser menor de 21 anos, apresentando cópia autenticada do documento de identidade;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III - Residir no Município há pelo menos 2 (dois) anos, apresentando comprovante de residência  ou declaração firmada por duas testemunhas idôneas;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IV - estar no gozo de seus direitos políticos, apresentando xerox autenticada do título de eleitor e comprovante de votação na última eleição;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V - ter concluído o ensino médio, apresentando o respectivo certificado de conclusão;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VI- Ter experiência anterior em atividades relacionadas ao atendimento à criança e ao adolescente, nas áreas de educação e assistência social, ainda que em caráter voluntário ou gratuito, mediante carta de apresentação subscrita pelas entidades ou autoridades junto às quais desenvolveu suas atividades;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left"/>
      </w:pPr>
      <w:r>
        <w:rPr>
          <w:sz w:val="24"/>
          <w:szCs w:val="24"/>
        </w:rPr>
        <w:t>Parágrafo único  – As inscrições serão realizadas no endereço xxxxxxxxxxxxxxxxxxxxxxx xxxxxxxxxxxxxxxxxxxxxxxxxxxxxxxxxxxxxxxxxxxxxxxxxxxxxxxxxxxxxxxxxxxxxxxxxxxxxxxxxxxxxxxxxxxxxxxxxxxx  no   ato   da   inscrição,  ficará  facultado  aos   candidatos apresentarem  acompanhado  de  documentos  comprobatórios,   contendo  informações  a respeito  de  experiência  anterior  na  área  de  defesa e atendimento aos direitos da criança e adolescente.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8º - O candidato poderá indicar, para constar na relação de candidatos, além do nome completo, um apelido.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9º. - A posse dos eleitos deverá ocorrer no dia ______ de _________ de 20______, às ________ horas, no (local-------------) de xxxxxxxxxx-TO.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10 - São impedidos de servir no mesmo Conselho marido e mulher, ascendente e descendente, sogro ou sogra, genro ou nora, irmãos, cunhados, durante o cunhadio, tios e sobrinhos, padastro ou madrasta e enteado (a).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Estende-se o impedimento do conselheiro, na forma deste artigo, em relação à autoridade judiciária e ao representante do Ministério Público com atuação na Justiça da Infância e Juventude da Comarca.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11 - A candidatura a membro do Conselho Tutelar é individual e sem vinculação a partido político ou credo de qualquer natureza.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12 - Somente poderão concorrer as candidaturas devidamente aprovadas e registradas pelo CMDCA.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O prazo e local para inscrição das candidaturas será fixado no edital de abertura do processo eletivo.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13 - Os interessados deverão inscrever-se mediante o PREENCHIMENTO de REQUERIMENTO  DE INSCRIÇÃO fornecido pela Comissão Organizadora do pleito, atendidos os requisitos do art. 7º desta Resolução.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14 - No prazo de 24 horas a contar do término do prazo de inscrições, a Comissão Organizadora publicará edital, mediante afixação em lugares públicos, informando os nomes dos candidatos inscritos e fixando prazo de 02 (dois) dias, contados a partir da publicação, para o oferecimento de impugnações, devidamente instruídas com provas, por qualquer interessado.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Desde o encerramento das inscrições, todos os documentos e também os currículos dos candidatos estarão à disposição dos interessados que os requeiram, na sede do CMDCA, para exame e conhecimento dos requisitos exigidos.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15 - Decorridos os prazos acima, a Comissão Organizadora reunir-se-á, no prazo máximo de 05 (cinco) dias, para avaliar os requisitos, documentos, currículos e impugnações, deferindo os registros dos candidatos que preencham os requisitos de lei e indeferindo os que não preencham ou apresentem documentação incompleta.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Art. 16 - Em seguida, a Comissão Organizadora terá o prazo de 24 horas para publicar a relação dos candidatos que tiveram suas inscrições deferidas, abrindo-se o prazo de 03 (três) dias para que os candidatos preteridos, caso queiram, possam apresentar recurso para o Plenário do CMDCA, que decidirá em última instância, em igual prazo, seguindo-se nova publicação com a relação dos candidatos que serão submetidos à prova de conhecimentos do ECA, a ser realizada dentro dos 05 (cinco) dias subseqüentes à publicação da relação. 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b/>
          <w:bCs/>
          <w:sz w:val="24"/>
          <w:szCs w:val="24"/>
        </w:rPr>
        <w:t xml:space="preserve">CAPÍTULO IV - DA PROVA DE CONHECIMENTOS DO ECA 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17 - A Comissão Organizadora providenciará local e agendará data e hora para a realização da prova de conhecimentos do ECA, informando aos candidatos, com antecedência mínima de pelo menos 02 (dois) dias.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18 - Quarenta e oito horas antes da aplicação, a Comissão Examinadora entregará a prova elaborada ao Presidente da Comissão Organizadora, que se encarregará da reprodução de quantas cópias se fizerem necessárias, responsabilizando-se pelo sigilo.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>Art. 19 - Na elaboração, aplicação e correção da prova, deverá ser observado o seguinte: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 xml:space="preserve"> 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 xml:space="preserve">I – Os examinadores auferirão nota de 1 a 10 aos candidatos avaliando conhecimento, discernimento e agilidade para resolução das questões apresentadas. 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>II – A prova será constituída de 10 questões objetivas;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 xml:space="preserve">III – A prova não poderá conter identificação do candidato, somente o uso de código ou número, considerando-se apto o candidato que atingir a média 05 (cinco) na nota auferida pelos examinadores. 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>IV - A Comissão terá o prazo de 01 (um) dia para corrigir as provas e devolvê-las com os respectivos resultados, para divulgação no primeiro dia útil subseqüente.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>§ 1º. Da decisão dos examinadores caberá recurso devidamente fundamentado ao CMDCA, a ser apresentado em 02 (dois) dias da divulgação do resultado; a análise do recurso consistirá em simples revisão da correção da prova pela Comissão  ou pelo Promotor de Justiça da Infância e da Juventude, cuja decisão final, de caráter irrecorrível, deverá ser comunicada ao CMDCA no prazo de 02 (dois) dias.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§ 2º. Aqueles candidatos que deixarem de atingir a média 5 não terão suas candidaturas homologadas, bem como não estarão aptos a submeterem-se ao processo de escolha.  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20 - Recebidos os resultados dos recursos interpostos contra a avaliação das provas ou, em não havendo recursos, vencido o prazo respectivo, no primeiro dia útil subseqüente a Comissão publicará a relação das candidaturas homologadas.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b/>
          <w:bCs/>
          <w:sz w:val="24"/>
          <w:szCs w:val="24"/>
        </w:rPr>
        <w:t>CAPÍTULO V - DA PROPAGANDA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21 - Os candidatos poderão divulgar suas candidaturas entre os  eleitores, a partir da data da  publicação da relação das candidaturas definitivas e por um período mínimo de 20 (vinte) dias, podendo estender-se até a véspera do dia da votação.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A propaganda individual será permitida através da distribuição de impressos, faixas, pinturas em residências particulares (desde que haja autorização do proprietário), e custeadas pelos candidatos, bem como através de debates, palestras e reuniões a serem agendadas pela Comissão, junto às escolas, associações e comunidade em geral.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Art. 22 - A eventual divulgação das candidaturas através de órgãos de imprensa falada ou escrita ficará a cargo exclusivamente da COMISSÃO ORGANIZADORA e limitar-se-á à veiculação dos nomes e resumo dos currículos de todos os candidatos, sem exclusão de nenhum, sempre em bloco e com absoluta igualdade de espaços e inserções. 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23 - Toda a propaganda individual será fiscalizada pela Comissão Organizadora, que determinará a imediata suspensão ou cessação da propaganda que violar o disposto nos dispositivos anteriores ou atentar contra princípios éticos ou morais, ou contra a honra subjetiva de qualquer candidato.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Em caso de propaganda abusiva ou irregular, a Comissão Organizadora poderá cassar a candidatura do infrator, em reunião única e específica, assegurando-lhe o direito de defesa.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24 - Não será permitida propaganda de qualquer espécie dentro do local de votação, bem como não será tolerada qualquer forma de aliciamento de eleitores durante o horário de votação. É vedada a prática de boca de urna.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CAPÍTULO- VI - DOS TRABALHOS DE VOTAÇÃO E APURAÇÃO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25 - Haverá seções eleitorais situadas no Escola Municipal Geraldo da Cunha Ferreira.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26 – Haverá mesa(s) receptora(s) de votos, composta(s) por 02 (dois) membros, 01 (um) presidente, 01(um) mesário, previamente escolhidos e orientados pela Comissão Organizadora, dentre pessoas de reconhecida idoneidade, com antecedência mínima de 03 (três) dias antes da data do pleito.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§1º - Os eleitores serão distribuídos entre as seções por ordem alfabética dos nomes ou outro critério apontado pela Justiça Eleitoral.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§2º - São impedidos de compor a mesa receptora os candidatos e seus cônjuges ou parentes por consangüinidade ou afinidade, até o segundo grau.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§3º- Na mesa receptora haverá relação dos eleitores fornecida pela Justiça Eleitoral.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27 - Compete à mesa receptora: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 - receber os votos dos eleitores;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II - solucionar imediatamente as dúvidas que ocorrerem, levando ao conhecimento da Comissão Organizadora os impasses que não conseguir resolver;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III - Lavrar a ata de votação anotando todas as ocorrências;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IV - Colher o voto em separado em envelope individual, devidamente fechado e depositado na urna, com registro em ata para posterior apuração;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V - manter a ordem no local de votação, podendo solicitar força policial;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VI - autenticar, com assinatura dos componentes da mesa, as cédulas oficiais, caso o pleito não seja efetuado eletronicamente.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28 - Após identificado, o eleitor assinará a relação respectiva, receberá a cédula e votará, colocando-a na urna à vista dos mesários.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O eleitor que não souber ou não puder assinar o nome lançará a impressão do polegar direito no local próprio da relação respectiva.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29 - Cada candidato poderá credenciar 01 (um) fiscal junto à Comissão Organizadora, que deverá portar crachá e poderá solicitar ao Presidente da Mesa receptora ou apuradora o registro em ata de quaisquer irregularidades que constatarem.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30 - Haverá uma única mesa apuradora de votos, composta nos mesmos moldes da mesa receptora, pela Comissão Organizadora.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A apuração em sessão pública e única será feita no mesmo local da votação (Escola Municipal Geraldo da Cunha Ferreira), imediatamente após o seu encerramento.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31 - Antes de iniciar a apuração, a mesa apuradora resolverá os casos dos votos em separado, se houver, incluindo na urna as cédulas dos votos julgados válidos, de modo a garantir o sigilo.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Parágrafo único - Os candidatos poderão apresentar impugnação à medida que os votos forem sendo apurados, cabendo a decisão à própria Comissão Organizadora, que decidirá de plano facultado à manifestação do Ministério Público.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32 - Concluídos os trabalhos de apuração e preenchidos os boletins de urna, deverá o Presidente da mesa apuradora encaminhar todo o material ao Presidente da Comissão organizadora, que procederá à totalização dos votos.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Parágrafo único - Após a contagem e totalização, os votos serão novamente colocados na urna e esta será lacrada, caso o pleito seja eletrônica, observar-se-á os procedimentos apresentados pela Justiça Eleitoral. 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Art. 33 - A Comissão Organizadora lavrará a ata geral da votação e apuração, mencionando todos os incidentes ocorridos, impugnações, etc., bem como os sufrágios obtidos pelos candidatos, colhendo as assinaturas dos membros da Comissão, candidatos, fiscais, representante do Ministério Público e quaisquer cidadãos que estejam presentes e queiram assinar, afixando cópia no local de votação, na sede do CMDCA e  no </w:t>
      </w:r>
      <w:r>
        <w:rPr>
          <w:i/>
          <w:sz w:val="24"/>
          <w:szCs w:val="24"/>
        </w:rPr>
        <w:t>hall</w:t>
      </w:r>
      <w:r>
        <w:rPr>
          <w:sz w:val="24"/>
          <w:szCs w:val="24"/>
        </w:rPr>
        <w:t xml:space="preserve"> da Prefeitura.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>§ 1º - Ao CMDCA, no prazo de 02 (dois) dias da votação e apuração, poderão ser interpostos recursos das decisões da Comissão Organizadora nos trabalhos de apuração, desde que a impugnação tenha constado expressamente em ata.</w:t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  <w:jc w:val="both"/>
      </w:pPr>
      <w:r>
        <w:rPr>
          <w:sz w:val="24"/>
          <w:szCs w:val="24"/>
        </w:rPr>
        <w:t>§ 2º - O CMDCA decidirá os eventuais recursos no prazo máximo de 02 (dois) dias, determinando ou não as correções necessárias, e baixará resolução homologando o resultado definitivo do processo de escolha, enviando cópias ao Prefeito Municipal, ao representante do Ministério Público e ao Juiz da Infância e Juventude.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34 - O CMDCA manterá em arquivo permanente todas as resoluções, editais, atas e demais atos referentes ao processo de escolha do Conselho Tutelar, sendo que os votos e as fichas de cadastramento de eleitores deverão ser conservados por 06 (seis) meses e, após, poderão ser destruídos.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b/>
          <w:bCs/>
          <w:sz w:val="24"/>
          <w:szCs w:val="24"/>
        </w:rPr>
        <w:t>CAPÍTULO VII - DO VOTO SECRETO E DA CÉDULA OFICIAL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35 - O sigilo do voto será assegurado mediante as seguintes providências: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 - uso de cédula cujo modelo será aprovado pelo CMDCA, caso o pleito não seja eletrônico;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II - isolamento do eleitor em cabine indevassável, onde constará relação dos candidatos;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III - autenticidade da cédula conferida pela rubrica dos mesários.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36 - A cédula oficial será confeccionada e distribuída pela Comissão Organizadora.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§ 1º - Na cédula, constarão apenas espaços para os nomes e/ou números dos candidatos.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ab/>
        <w:tab/>
        <w:t xml:space="preserve">   § 2º - Os números dos candidatos corresponderão à ordem alfabética de seus respectivos nomes e deverão ser divulgados juntamente com a relação definitiva dos candidatos registrados.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37 - A cédula não poderá conter quaisquer sinais ou manifestações que identifiquem o votante ou impossibilitem o conhecimento da sua intenção, sob pena de nulidade dos votos.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b/>
          <w:bCs/>
          <w:sz w:val="24"/>
          <w:szCs w:val="24"/>
        </w:rPr>
        <w:t>CAPÍTULO VIII - DISPOSIÇÕES FINAIS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38 - No prazo de 01 (um) dia, a contar da publicação desta Resolução, o Presidente do CMDCA publicará edital abrindo as inscrições para o processo de escolha e estabelecendo o respectivo calendário.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 xml:space="preserve">Art. 39 - Esta resolução, aprovada pelo plenário do CMDCA e transcrita no livro de atas, no dia 20/06/2012, entrará em vigor na data de sua publicação, a fazer-se mediante afixação na sede do CMDCA e no Hall da Prefeitura Municipal de xxxxxxxx, dentro de 24 horas a contar da aprovação, sem prejuízo de ampla divulgação em </w:t>
      </w:r>
      <w:r>
        <w:rPr>
          <w:rFonts w:ascii="Arial" w:hAnsi="Arial"/>
          <w:sz w:val="24"/>
          <w:szCs w:val="24"/>
        </w:rPr>
        <w:t>jornais de circulação local e demais meios de comunicação.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  <w:t>Art. 40 - Os casos omissos serão resolvidos na forma da Lei Municipal nº xxxxx.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</w:pPr>
      <w:r>
        <w:rPr>
          <w:sz w:val="24"/>
          <w:szCs w:val="24"/>
        </w:rPr>
        <w:t>Aragominas, 25 de Junho de 2012.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both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center"/>
      </w:pPr>
      <w:r>
        <w:rPr>
          <w:sz w:val="24"/>
          <w:szCs w:val="24"/>
        </w:rPr>
      </w:r>
    </w:p>
    <w:p>
      <w:pPr>
        <w:pStyle w:val="style26"/>
        <w:tabs>
          <w:tab w:leader="none" w:pos="0" w:val="left"/>
          <w:tab w:leader="none" w:pos="708" w:val="left"/>
        </w:tabs>
        <w:ind w:hanging="0" w:left="0" w:right="-255"/>
        <w:jc w:val="center"/>
      </w:pPr>
      <w:r>
        <w:rPr>
          <w:b/>
          <w:sz w:val="24"/>
          <w:szCs w:val="24"/>
        </w:rPr>
        <w:t>Presidente do CMDCA</w:t>
      </w:r>
    </w:p>
    <w:p>
      <w:pPr>
        <w:pStyle w:val="style26"/>
        <w:tabs>
          <w:tab w:leader="none" w:pos="0" w:val="left"/>
          <w:tab w:leader="none" w:pos="708" w:val="left"/>
        </w:tabs>
        <w:ind w:hanging="0" w:left="0" w:right="-255"/>
        <w:jc w:val="center"/>
      </w:pPr>
      <w:r>
        <w:rPr>
          <w:sz w:val="24"/>
          <w:szCs w:val="24"/>
        </w:rPr>
        <w:t>xxxxxxxxxxxxxxxxxxxxxxxxxx</w:t>
      </w:r>
    </w:p>
    <w:p>
      <w:pPr>
        <w:pStyle w:val="style0"/>
        <w:tabs>
          <w:tab w:leader="none" w:pos="0" w:val="left"/>
          <w:tab w:leader="none" w:pos="708" w:val="left"/>
        </w:tabs>
        <w:spacing w:after="120" w:before="120"/>
        <w:ind w:hanging="0" w:left="0" w:right="-255"/>
        <w:jc w:val="center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</w:pPr>
      <w:r>
        <w:rPr>
          <w:sz w:val="24"/>
          <w:szCs w:val="24"/>
        </w:rPr>
      </w:r>
    </w:p>
    <w:p>
      <w:pPr>
        <w:pStyle w:val="style0"/>
        <w:tabs>
          <w:tab w:leader="none" w:pos="0" w:val="left"/>
          <w:tab w:leader="none" w:pos="708" w:val="left"/>
        </w:tabs>
        <w:ind w:hanging="0" w:left="0" w:right="-255"/>
      </w:pPr>
      <w:r>
        <w:rPr>
          <w:sz w:val="24"/>
          <w:szCs w:val="24"/>
        </w:rPr>
      </w:r>
    </w:p>
    <w:p>
      <w:pPr>
        <w:pStyle w:val="style0"/>
        <w:tabs>
          <w:tab w:leader="none" w:pos="-270" w:val="left"/>
          <w:tab w:leader="none" w:pos="438" w:val="left"/>
        </w:tabs>
        <w:ind w:hanging="0" w:left="-270" w:right="0"/>
      </w:pPr>
      <w:r>
        <w:rPr>
          <w:sz w:val="24"/>
          <w:szCs w:val="24"/>
        </w:rPr>
      </w:r>
    </w:p>
    <w:p>
      <w:pPr>
        <w:pStyle w:val="style0"/>
        <w:tabs>
          <w:tab w:leader="none" w:pos="-270" w:val="left"/>
          <w:tab w:leader="none" w:pos="438" w:val="left"/>
        </w:tabs>
        <w:ind w:hanging="0" w:left="-270" w:right="0"/>
      </w:pPr>
      <w:r>
        <w:rPr>
          <w:sz w:val="24"/>
          <w:szCs w:val="24"/>
        </w:rPr>
      </w:r>
    </w:p>
    <w:p>
      <w:pPr>
        <w:pStyle w:val="style0"/>
        <w:tabs>
          <w:tab w:leader="none" w:pos="-270" w:val="left"/>
          <w:tab w:leader="none" w:pos="438" w:val="left"/>
        </w:tabs>
        <w:ind w:hanging="0" w:left="-270" w:right="0"/>
      </w:pPr>
      <w:r>
        <w:rPr>
          <w:sz w:val="24"/>
          <w:szCs w:val="24"/>
        </w:rPr>
      </w:r>
    </w:p>
    <w:p>
      <w:pPr>
        <w:pStyle w:val="style0"/>
        <w:tabs>
          <w:tab w:leader="none" w:pos="-270" w:val="left"/>
          <w:tab w:leader="none" w:pos="438" w:val="left"/>
        </w:tabs>
        <w:ind w:hanging="0" w:left="-270" w:right="0"/>
      </w:pPr>
      <w:r>
        <w:rPr>
          <w:sz w:val="24"/>
          <w:szCs w:val="24"/>
        </w:rPr>
      </w:r>
    </w:p>
    <w:sectPr>
      <w:footerReference r:id="rId2" w:type="default"/>
      <w:type w:val="nextPage"/>
      <w:pgSz w:h="15840" w:w="12240"/>
      <w:pgMar w:bottom="1440" w:footer="720" w:gutter="0" w:header="0" w:left="1800" w:right="1800" w:top="1440"/>
      <w:pgNumType w:fmt="decimal"/>
      <w:formProt w:val="false"/>
      <w:textDirection w:val="lrTb"/>
      <w:docGrid w:charSpace="40960" w:linePitch="40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  <w:spacing w:after="120" w:before="0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lowerLetter"/>
      <w:lvlText w:val="%1)"/>
      <w:lvlJc w:val="left"/>
      <w:pPr>
        <w:ind w:hanging="360" w:left="2061"/>
      </w:p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2.%3."/>
      <w:lvlJc w:val="left"/>
      <w:pPr>
        <w:ind w:hanging="360" w:left="1440"/>
      </w:pPr>
    </w:lvl>
    <w:lvl w:ilvl="3">
      <w:start w:val="1"/>
      <w:numFmt w:val="decimal"/>
      <w:lvlText w:val="%2.%3.%4."/>
      <w:lvlJc w:val="left"/>
      <w:pPr>
        <w:ind w:hanging="360" w:left="1800"/>
      </w:pPr>
    </w:lvl>
    <w:lvl w:ilvl="4">
      <w:start w:val="1"/>
      <w:numFmt w:val="decimal"/>
      <w:lvlText w:val="%2.%3.%4.%5."/>
      <w:lvlJc w:val="left"/>
      <w:pPr>
        <w:ind w:hanging="360" w:left="2160"/>
      </w:pPr>
    </w:lvl>
    <w:lvl w:ilvl="5">
      <w:start w:val="1"/>
      <w:numFmt w:val="decimal"/>
      <w:lvlText w:val="%2.%3.%4.%5.%6."/>
      <w:lvlJc w:val="left"/>
      <w:pPr>
        <w:ind w:hanging="360" w:left="2520"/>
      </w:pPr>
    </w:lvl>
    <w:lvl w:ilvl="6">
      <w:start w:val="1"/>
      <w:numFmt w:val="decimal"/>
      <w:lvlText w:val="%2.%3.%4.%5.%6.%7."/>
      <w:lvlJc w:val="left"/>
      <w:pPr>
        <w:ind w:hanging="360" w:left="2880"/>
      </w:pPr>
    </w:lvl>
    <w:lvl w:ilvl="7">
      <w:start w:val="1"/>
      <w:numFmt w:val="decimal"/>
      <w:lvlText w:val="%2.%3.%4.%5.%6.%7.%8."/>
      <w:lvlJc w:val="left"/>
      <w:pPr>
        <w:ind w:hanging="360" w:left="3240"/>
      </w:pPr>
    </w:lvl>
    <w:lvl w:ilvl="8">
      <w:start w:val="1"/>
      <w:numFmt w:val="decimal"/>
      <w:lvlText w:val="%2.%3.%4.%5.%6.%7.%8.%9."/>
      <w:lvlJc w:val="left"/>
      <w:pPr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A"/>
      <w:sz w:val="20"/>
      <w:szCs w:val="20"/>
      <w:lang w:bidi="hi-IN" w:eastAsia="ar-SA" w:val="pt-BR"/>
    </w:rPr>
  </w:style>
  <w:style w:styleId="style15" w:type="character">
    <w:name w:val="Default Paragraph Font"/>
    <w:next w:val="style15"/>
    <w:rPr/>
  </w:style>
  <w:style w:styleId="style16" w:type="character">
    <w:name w:val="Rodapé Char"/>
    <w:basedOn w:val="style15"/>
    <w:next w:val="style16"/>
    <w:rPr>
      <w:rFonts w:ascii="Times New Roman" w:cs="Times New Roman" w:eastAsia="Times New Roman" w:hAnsi="Times New Roman"/>
      <w:sz w:val="20"/>
      <w:szCs w:val="20"/>
      <w:lang w:bidi="hi-IN" w:eastAsia="ar-SA"/>
    </w:rPr>
  </w:style>
  <w:style w:styleId="style17" w:type="character">
    <w:name w:val="Corpo de texto Char"/>
    <w:basedOn w:val="style15"/>
    <w:next w:val="style17"/>
    <w:rPr>
      <w:rFonts w:cs=""/>
      <w:lang w:eastAsia="pt-BR"/>
    </w:rPr>
  </w:style>
  <w:style w:styleId="style18" w:type="character">
    <w:name w:val="Texto de balão Char"/>
    <w:basedOn w:val="style15"/>
    <w:next w:val="style18"/>
    <w:rPr>
      <w:rFonts w:ascii="Tahoma" w:cs="" w:hAnsi="Tahoma"/>
      <w:sz w:val="16"/>
      <w:szCs w:val="16"/>
      <w:lang w:eastAsia="pt-BR"/>
    </w:rPr>
  </w:style>
  <w:style w:styleId="style19" w:type="character">
    <w:name w:val="Cabeçalho Char"/>
    <w:basedOn w:val="style15"/>
    <w:next w:val="style19"/>
    <w:rPr>
      <w:rFonts w:cs=""/>
      <w:lang w:eastAsia="pt-BR"/>
    </w:rPr>
  </w:style>
  <w:style w:styleId="style20" w:type="paragraph">
    <w:name w:val="Título"/>
    <w:basedOn w:val="style0"/>
    <w:next w:val="style21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21" w:type="paragraph">
    <w:name w:val="Corpo de texto"/>
    <w:basedOn w:val="style0"/>
    <w:next w:val="style21"/>
    <w:pPr>
      <w:spacing w:after="120" w:before="0"/>
    </w:pPr>
    <w:rPr/>
  </w:style>
  <w:style w:styleId="style22" w:type="paragraph">
    <w:name w:val="Lista"/>
    <w:basedOn w:val="style21"/>
    <w:next w:val="style22"/>
    <w:pPr/>
    <w:rPr>
      <w:rFonts w:cs="Lohit Hindi"/>
    </w:rPr>
  </w:style>
  <w:style w:styleId="style23" w:type="paragraph">
    <w:name w:val="Legenda"/>
    <w:basedOn w:val="style0"/>
    <w:next w:val="style23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4" w:type="paragraph">
    <w:name w:val="Índice"/>
    <w:basedOn w:val="style0"/>
    <w:next w:val="style24"/>
    <w:pPr>
      <w:suppressLineNumbers/>
    </w:pPr>
    <w:rPr>
      <w:rFonts w:cs="Lohit Hindi"/>
    </w:rPr>
  </w:style>
  <w:style w:styleId="style25" w:type="paragraph">
    <w:name w:val="Rodapé"/>
    <w:basedOn w:val="style0"/>
    <w:next w:val="style25"/>
    <w:pPr>
      <w:suppressLineNumbers/>
      <w:tabs>
        <w:tab w:leader="none" w:pos="4252" w:val="center"/>
        <w:tab w:leader="none" w:pos="8504" w:val="right"/>
      </w:tabs>
    </w:pPr>
    <w:rPr/>
  </w:style>
  <w:style w:styleId="style26" w:type="paragraph">
    <w:name w:val="No Spacing"/>
    <w:next w:val="style26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A"/>
      <w:sz w:val="20"/>
      <w:szCs w:val="20"/>
      <w:lang w:bidi="hi-IN" w:eastAsia="ar-SA" w:val="pt-BR"/>
    </w:rPr>
  </w:style>
  <w:style w:styleId="style27" w:type="paragraph">
    <w:name w:val="Conteúdo de quadro"/>
    <w:basedOn w:val="style21"/>
    <w:next w:val="style27"/>
    <w:pPr>
      <w:tabs>
        <w:tab w:leader="none" w:pos="708" w:val="left"/>
      </w:tabs>
      <w:suppressAutoHyphens w:val="true"/>
      <w:spacing w:line="100" w:lineRule="atLeast"/>
    </w:pPr>
    <w:rPr>
      <w:rFonts w:ascii="Times New Roman" w:cs="Times New Roman" w:eastAsia="Times New Roman" w:hAnsi="Times New Roman"/>
      <w:sz w:val="20"/>
      <w:szCs w:val="20"/>
      <w:lang w:bidi="hi-IN" w:eastAsia="ar-SA"/>
    </w:rPr>
  </w:style>
  <w:style w:styleId="style28" w:type="paragraph">
    <w:name w:val="Balloon Text"/>
    <w:basedOn w:val="style0"/>
    <w:next w:val="style28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29" w:type="paragraph">
    <w:name w:val="Cabeçalho"/>
    <w:basedOn w:val="style0"/>
    <w:next w:val="style29"/>
    <w:pPr>
      <w:suppressLineNumbers/>
      <w:tabs>
        <w:tab w:leader="none" w:pos="4252" w:val="center"/>
        <w:tab w:leader="none" w:pos="8504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2012-06-22T23:47:00.00Z</dcterms:created>
  <dc:creator>Administrador </dc:creator>
  <cp:lastModifiedBy>Administrador </cp:lastModifiedBy>
  <dcterms:modified xsi:type="dcterms:W3CDTF">2012-06-25T15:04:00.00Z</dcterms:modified>
  <cp:revision>9</cp:revision>
</cp:coreProperties>
</file>