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widowControl/>
        <w:suppressAutoHyphens w:val="true"/>
        <w:bidi w:val="0"/>
        <w:spacing w:before="100" w:after="100"/>
        <w:ind w:left="0" w:right="-283" w:hanging="0"/>
        <w:jc w:val="center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  <w:u w:val="single"/>
        </w:rPr>
        <w:t>R</w:t>
      </w:r>
      <w:r>
        <w:rPr>
          <w:rFonts w:cs="Book Antiqua" w:ascii="Cambria" w:hAnsi="Cambria"/>
          <w:b/>
          <w:bCs/>
          <w:i w:val="false"/>
          <w:iCs w:val="false"/>
          <w:u w:val="single"/>
        </w:rPr>
        <w:t>ECOMENDAÇÃO</w:t>
      </w:r>
      <w:r>
        <w:rPr>
          <w:rFonts w:cs="Book Antiqua" w:ascii="Cambria" w:hAnsi="Cambria"/>
          <w:b/>
          <w:bCs/>
          <w:i w:val="false"/>
          <w:iCs w:val="false"/>
          <w:u w:val="single"/>
        </w:rPr>
        <w:t xml:space="preserve"> nº </w:t>
      </w:r>
      <w:r>
        <w:rPr>
          <w:rFonts w:cs="Book Antiqua" w:ascii="Cambria" w:hAnsi="Cambria"/>
          <w:b/>
          <w:bCs/>
          <w:i w:val="false"/>
          <w:iCs w:val="false"/>
          <w:u w:val="single"/>
        </w:rPr>
        <w:t>XXX</w:t>
      </w:r>
      <w:r>
        <w:rPr>
          <w:rFonts w:cs="Book Antiqua" w:ascii="Cambria" w:hAnsi="Cambria"/>
          <w:b/>
          <w:bCs/>
          <w:i w:val="false"/>
          <w:iCs w:val="false"/>
          <w:u w:val="single"/>
        </w:rPr>
        <w:t>/2024</w:t>
      </w:r>
    </w:p>
    <w:p>
      <w:pPr>
        <w:pStyle w:val="NormalWeb"/>
        <w:widowControl/>
        <w:suppressAutoHyphens w:val="true"/>
        <w:bidi w:val="0"/>
        <w:spacing w:before="100" w:after="100"/>
        <w:ind w:left="0" w:right="-283" w:hanging="0"/>
        <w:jc w:val="center"/>
        <w:rPr>
          <w:rFonts w:ascii="Cambria" w:hAnsi="Cambria" w:cs="Book Antiqua"/>
          <w:b/>
          <w:b/>
          <w:bCs/>
          <w:i w:val="false"/>
          <w:i w:val="false"/>
          <w:iCs w:val="false"/>
          <w:u w:val="single"/>
        </w:rPr>
      </w:pPr>
      <w:r>
        <w:rPr>
          <w:rFonts w:cs="Book Antiqua" w:ascii="Cambria" w:hAnsi="Cambria"/>
          <w:b/>
          <w:bCs/>
          <w:i w:val="false"/>
          <w:iCs w:val="false"/>
          <w:u w:val="single"/>
        </w:rPr>
      </w:r>
    </w:p>
    <w:p>
      <w:pPr>
        <w:pStyle w:val="NormalWeb"/>
        <w:widowControl/>
        <w:suppressAutoHyphens w:val="true"/>
        <w:bidi w:val="0"/>
        <w:spacing w:before="100" w:after="100"/>
        <w:ind w:left="0" w:right="-283" w:hanging="0"/>
        <w:jc w:val="center"/>
        <w:rPr>
          <w:rFonts w:ascii="Cambria" w:hAnsi="Cambria" w:cs="Book Antiqua"/>
          <w:b/>
          <w:b/>
          <w:bCs/>
          <w:i w:val="false"/>
          <w:i w:val="false"/>
          <w:iCs w:val="false"/>
          <w:u w:val="single"/>
        </w:rPr>
      </w:pPr>
      <w:r>
        <w:rPr>
          <w:rFonts w:cs="Book Antiqua" w:ascii="Cambria" w:hAnsi="Cambria"/>
          <w:b/>
          <w:bCs/>
          <w:i w:val="false"/>
          <w:iCs w:val="false"/>
          <w:u w:val="single"/>
        </w:rPr>
      </w:r>
    </w:p>
    <w:p>
      <w:pPr>
        <w:pStyle w:val="NormalWeb"/>
        <w:ind w:left="567" w:right="-284" w:firstLine="1701"/>
        <w:jc w:val="both"/>
        <w:rPr>
          <w:rFonts w:ascii="Cambria" w:hAnsi="Cambria" w:cs="Book Antiqua"/>
          <w:b/>
          <w:b/>
          <w:bCs/>
          <w:i w:val="false"/>
          <w:i w:val="false"/>
          <w:iCs w:val="false"/>
          <w:u w:val="single"/>
        </w:rPr>
      </w:pPr>
      <w:r>
        <w:rPr>
          <w:rFonts w:cs="Book Antiqua" w:ascii="Cambria" w:hAnsi="Cambria"/>
          <w:b/>
          <w:bCs/>
          <w:i w:val="false"/>
          <w:iCs w:val="false"/>
          <w:u w:val="single"/>
        </w:rPr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  <w:t>___________________, Promotor Eleitoral de __________________, Estado do Tocantins, no exercício de suas atribuições e na forma do Art. 6º, XX, da Lei Complementar 75/93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  <w:t>C</w:t>
      </w:r>
      <w:r>
        <w:rPr>
          <w:rFonts w:cs="Book Antiqua" w:ascii="Cambria" w:hAnsi="Cambria"/>
          <w:b/>
          <w:bCs/>
          <w:i w:val="false"/>
          <w:iCs w:val="false"/>
        </w:rPr>
        <w:t>ONSIDERANDO</w:t>
      </w:r>
      <w:r>
        <w:rPr>
          <w:rFonts w:cs="Book Antiqua" w:ascii="Cambria" w:hAnsi="Cambria"/>
          <w:bCs/>
          <w:i w:val="false"/>
          <w:iCs w:val="false"/>
        </w:rPr>
        <w:t xml:space="preserve"> que o Ministério Público, na defesa do regime democrático e da lisura do pleito, busca atuar preventivamente, contribuindo para que se evitem os atos viciosos das eleições e se produzam resultados eleitorais legítimos;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  <w:t>C</w:t>
      </w:r>
      <w:r>
        <w:rPr>
          <w:rFonts w:cs="Book Antiqua" w:ascii="Cambria" w:hAnsi="Cambria"/>
          <w:b/>
          <w:bCs/>
          <w:i w:val="false"/>
          <w:iCs w:val="false"/>
        </w:rPr>
        <w:t>ONSIDERANDO</w:t>
      </w:r>
      <w:r>
        <w:rPr>
          <w:rFonts w:cs="Book Antiqua" w:ascii="Cambria" w:hAnsi="Cambria"/>
          <w:bCs/>
          <w:i w:val="false"/>
          <w:iCs w:val="false"/>
        </w:rPr>
        <w:t xml:space="preserve"> que a recomendação do Ministério Público é instrumento de orientação que visa antecipar-se ao cometimento do ilícito e evitar a imposição de sanções,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  <w:t>C</w:t>
      </w:r>
      <w:r>
        <w:rPr>
          <w:rFonts w:cs="Book Antiqua" w:ascii="Cambria" w:hAnsi="Cambria"/>
          <w:b/>
          <w:bCs/>
          <w:i w:val="false"/>
          <w:iCs w:val="false"/>
        </w:rPr>
        <w:t>ONSIDERANDO</w:t>
      </w:r>
      <w:r>
        <w:rPr>
          <w:rFonts w:cs="Book Antiqua" w:ascii="Cambria" w:hAnsi="Cambria"/>
          <w:i w:val="false"/>
          <w:iCs w:val="false"/>
        </w:rPr>
        <w:t xml:space="preserve"> que a Lei das Eleições impõe às emissoras de rádio e TV, como concessionárias de serviço público, absoluta imparcialidade no processo eleitoral, vedando qualquer forma de propaganda eleitoral paga, como também o tratamento privilegiado a partidos ou candidatos, mesmo que durante sua programação normal e noticiários; 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  <w:t>C</w:t>
      </w:r>
      <w:r>
        <w:rPr>
          <w:rFonts w:cs="Book Antiqua" w:ascii="Cambria" w:hAnsi="Cambria"/>
          <w:b/>
          <w:bCs/>
          <w:i w:val="false"/>
          <w:iCs w:val="false"/>
        </w:rPr>
        <w:t>ONSIDERANDO</w:t>
      </w:r>
      <w:r>
        <w:rPr>
          <w:rFonts w:cs="Book Antiqua" w:ascii="Cambria" w:hAnsi="Cambria"/>
          <w:i w:val="false"/>
          <w:iCs w:val="false"/>
        </w:rPr>
        <w:t xml:space="preserve"> que a inobservância de tal preceito acarreta para a emissora a multa prevista no art. 45, § 2º, da Lei 9.504/97, além da suspensão de sua programação por até 24 horas (art. 56, da mesma lei), como também a inelegibilidade e cassação do registro do candidato beneficiado;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  <w:u w:val="single"/>
        </w:rPr>
        <w:t>RECOMENDA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i w:val="false"/>
          <w:iCs w:val="false"/>
        </w:rPr>
        <w:t xml:space="preserve">à </w:t>
      </w:r>
      <w:r>
        <w:rPr>
          <w:rFonts w:cs="Book Antiqua" w:ascii="Cambria" w:hAnsi="Cambria"/>
          <w:b/>
          <w:i w:val="false"/>
          <w:iCs w:val="false"/>
        </w:rPr>
        <w:t>Rádio _______________</w:t>
      </w:r>
      <w:r>
        <w:rPr>
          <w:rFonts w:cs="Book Antiqua" w:ascii="Cambria" w:hAnsi="Cambria"/>
          <w:i w:val="false"/>
          <w:iCs w:val="false"/>
        </w:rPr>
        <w:t xml:space="preserve">, de __________, que </w:t>
      </w:r>
      <w:r>
        <w:rPr>
          <w:rFonts w:cs="Book Antiqua" w:ascii="Cambria" w:hAnsi="Cambria"/>
          <w:i w:val="false"/>
          <w:iCs w:val="false"/>
          <w:u w:val="single"/>
        </w:rPr>
        <w:t>se abstenha, durante sua programação normal ou em noticiários, de anunciar candidaturas e de fazer referências, elogios e agradecimentos pessoais</w:t>
      </w:r>
      <w:r>
        <w:rPr>
          <w:rFonts w:cs="Book Antiqua" w:ascii="Cambria" w:hAnsi="Cambria"/>
          <w:i w:val="false"/>
          <w:iCs w:val="false"/>
        </w:rPr>
        <w:t xml:space="preserve"> que impliquem em tratamento privilegiado a quem quer que venha a ser candidato às próximas eleições, pois que tal conduta promove a pessoa ao público ouvinte, caracterizando </w:t>
      </w:r>
      <w:r>
        <w:rPr>
          <w:rFonts w:cs="Book Antiqua" w:ascii="Cambria" w:hAnsi="Cambria"/>
          <w:b/>
          <w:i w:val="false"/>
          <w:iCs w:val="false"/>
        </w:rPr>
        <w:t>(1)</w:t>
      </w:r>
      <w:r>
        <w:rPr>
          <w:rFonts w:cs="Book Antiqua" w:ascii="Cambria" w:hAnsi="Cambria"/>
          <w:i w:val="false"/>
          <w:iCs w:val="false"/>
        </w:rPr>
        <w:t xml:space="preserve"> propaganda eleitoral extemporânea (art. 36, § 3º, da Lei 9.504/97), sujeitando-se o infrator e o beneficiário à multa eleitoral de R$ 5.000,00 a R$ 25.000,00, e </w:t>
      </w:r>
      <w:r>
        <w:rPr>
          <w:rFonts w:cs="Book Antiqua" w:ascii="Cambria" w:hAnsi="Cambria"/>
          <w:b/>
          <w:i w:val="false"/>
          <w:iCs w:val="false"/>
        </w:rPr>
        <w:t>(2)</w:t>
      </w:r>
      <w:r>
        <w:rPr>
          <w:rFonts w:cs="Book Antiqua" w:ascii="Cambria" w:hAnsi="Cambria"/>
          <w:i w:val="false"/>
          <w:iCs w:val="false"/>
        </w:rPr>
        <w:t xml:space="preserve"> abuso do poder por uso indevido de meios de comunicação, levando o agente à inelegibilidade e o candidato à cassação de registro ou perda de mandato (art. 1º, I, "d", c/c 22, XIV, da LC 64/90, e art. 14, § 10, da CF).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  <w:t>RECOMENDA</w:t>
      </w:r>
      <w:r>
        <w:rPr>
          <w:rFonts w:cs="Book Antiqua" w:ascii="Cambria" w:hAnsi="Cambria"/>
          <w:i w:val="false"/>
          <w:iCs w:val="false"/>
        </w:rPr>
        <w:t xml:space="preserve">, mais, que eventuais entrevistas, programas e encontros com pré-candidatos observem o tratamento isonômico, o que exige sejam todos igualmente convidados (art. 36-A, da Lei n. 9.504/97). </w:t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both"/>
        <w:rPr>
          <w:rFonts w:ascii="Cambria" w:hAnsi="Cambria"/>
          <w:i w:val="false"/>
          <w:i w:val="false"/>
          <w:iCs w:val="false"/>
        </w:rPr>
      </w:pPr>
      <w:r>
        <w:rPr/>
      </w:r>
    </w:p>
    <w:p>
      <w:pPr>
        <w:pStyle w:val="NormalWeb"/>
        <w:widowControl/>
        <w:suppressAutoHyphens w:val="true"/>
        <w:overflowPunct w:val="false"/>
        <w:bidi w:val="0"/>
        <w:spacing w:before="100" w:after="100"/>
        <w:ind w:left="0" w:right="0" w:firstLine="1701"/>
        <w:jc w:val="right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i w:val="false"/>
          <w:iCs w:val="false"/>
        </w:rPr>
        <w:t>____________, ____ de ________ de 2024</w:t>
      </w:r>
    </w:p>
    <w:p>
      <w:pPr>
        <w:pStyle w:val="NormalWeb"/>
        <w:ind w:left="567" w:right="-284" w:firstLine="1701"/>
        <w:jc w:val="both"/>
        <w:rPr>
          <w:rFonts w:ascii="Cambria" w:hAnsi="Cambria" w:cs="Book Antiqua"/>
          <w:b/>
          <w:b/>
          <w:bCs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</w:r>
    </w:p>
    <w:p>
      <w:pPr>
        <w:pStyle w:val="NormalWeb"/>
        <w:ind w:left="567" w:right="-284" w:firstLine="1701"/>
        <w:jc w:val="center"/>
        <w:rPr>
          <w:rFonts w:ascii="Cambria" w:hAnsi="Cambria" w:cs="Book Antiqua"/>
          <w:b/>
          <w:b/>
          <w:bCs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</w:rPr>
      </w:r>
    </w:p>
    <w:p>
      <w:pPr>
        <w:pStyle w:val="NormalWeb"/>
        <w:widowControl/>
        <w:suppressAutoHyphens w:val="true"/>
        <w:bidi w:val="0"/>
        <w:spacing w:lineRule="auto" w:line="360" w:before="100" w:after="100"/>
        <w:ind w:left="0" w:right="-283" w:hanging="0"/>
        <w:jc w:val="center"/>
        <w:rPr>
          <w:rFonts w:ascii="Cambria" w:hAnsi="Cambria"/>
          <w:i w:val="false"/>
          <w:i w:val="false"/>
          <w:iCs w:val="false"/>
        </w:rPr>
      </w:pPr>
      <w:r>
        <w:rPr>
          <w:rFonts w:cs="Book Antiqua" w:ascii="Cambria" w:hAnsi="Cambria"/>
          <w:b/>
          <w:bCs/>
          <w:i w:val="false"/>
          <w:iCs w:val="false"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2</Pages>
  <Words>343</Words>
  <Characters>1910</Characters>
  <CharactersWithSpaces>2243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2023-06-10T14:35:39Z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