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w:t>
      </w:r>
      <w:r>
        <w:rPr>
          <w:rFonts w:ascii="Cambria" w:hAnsi="Cambria"/>
          <w:color w:val="C9211E"/>
          <w:sz w:val="24"/>
          <w:szCs w:val="24"/>
        </w:rPr>
        <w:t>MS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Corpodotexto"/>
        <w:spacing w:lineRule="auto" w:line="360"/>
        <w:ind w:left="0" w:right="0" w:hanging="0"/>
        <w:jc w:val="left"/>
        <w:rPr>
          <w:rFonts w:ascii="Cambria" w:hAnsi="Cambria"/>
          <w:sz w:val="24"/>
          <w:szCs w:val="24"/>
        </w:rPr>
      </w:pPr>
      <w:r>
        <w:rPr>
          <w:rFonts w:cs="Tahoma" w:ascii="Cambria" w:hAnsi="Cambria"/>
          <w:b/>
          <w:sz w:val="24"/>
          <w:szCs w:val="24"/>
        </w:rPr>
        <w:t xml:space="preserve">Autos n. </w:t>
      </w:r>
    </w:p>
    <w:p>
      <w:pPr>
        <w:pStyle w:val="Corpodotexto"/>
        <w:spacing w:lineRule="auto" w:line="360"/>
        <w:ind w:left="0" w:right="0" w:hanging="0"/>
        <w:rPr>
          <w:rFonts w:ascii="Cambria" w:hAnsi="Cambria" w:cs="Tahoma"/>
          <w:b/>
          <w:b/>
          <w:sz w:val="24"/>
          <w:szCs w:val="24"/>
        </w:rPr>
      </w:pPr>
      <w:r>
        <w:rPr>
          <w:rFonts w:cs="Tahoma" w:ascii="Cambria" w:hAnsi="Cambria"/>
          <w:b/>
          <w:sz w:val="24"/>
          <w:szCs w:val="24"/>
        </w:rPr>
      </w:r>
    </w:p>
    <w:p>
      <w:pPr>
        <w:pStyle w:val="Corpodotexto"/>
        <w:spacing w:lineRule="auto" w:line="360"/>
        <w:ind w:left="0" w:right="0" w:hanging="0"/>
        <w:rPr>
          <w:rFonts w:ascii="Cambria" w:hAnsi="Cambria" w:cs="Tahoma"/>
          <w:sz w:val="24"/>
          <w:szCs w:val="24"/>
        </w:rPr>
      </w:pPr>
      <w:r>
        <w:rPr>
          <w:rFonts w:cs="Tahoma" w:ascii="Cambria" w:hAnsi="Cambria"/>
          <w:sz w:val="24"/>
          <w:szCs w:val="24"/>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Trata-se de </w:t>
      </w:r>
      <w:r>
        <w:rPr>
          <w:rFonts w:eastAsia="Times New Roman" w:cs="Times New Roman" w:ascii="Cambria" w:hAnsi="Cambria"/>
          <w:b/>
          <w:bCs/>
          <w:color w:val="000000"/>
          <w:sz w:val="24"/>
          <w:szCs w:val="24"/>
          <w:lang w:eastAsia="pt-BR"/>
        </w:rPr>
        <w:t>Representação c/c Pedido Liminar</w:t>
      </w:r>
      <w:r>
        <w:rPr>
          <w:rFonts w:eastAsia="Times New Roman" w:cs="Times New Roman" w:ascii="Cambria" w:hAnsi="Cambria"/>
          <w:color w:val="000000"/>
          <w:sz w:val="24"/>
          <w:szCs w:val="24"/>
          <w:lang w:eastAsia="pt-BR"/>
        </w:rPr>
        <w:t xml:space="preserve"> formulado pelo </w:t>
      </w:r>
      <w:r>
        <w:rPr>
          <w:rFonts w:eastAsia="Times New Roman" w:cs="Times New Roman" w:ascii="Cambria" w:hAnsi="Cambria"/>
          <w:b/>
          <w:bCs/>
          <w:color w:val="000000"/>
          <w:sz w:val="24"/>
          <w:szCs w:val="24"/>
          <w:lang w:eastAsia="pt-BR"/>
        </w:rPr>
        <w:t>Diretório Municipal do Partido XXX – de XXX/XX</w:t>
      </w:r>
      <w:r>
        <w:rPr>
          <w:rFonts w:eastAsia="Times New Roman" w:cs="Times New Roman" w:ascii="Cambria" w:hAnsi="Cambria"/>
          <w:color w:val="000000"/>
          <w:sz w:val="24"/>
          <w:szCs w:val="24"/>
          <w:lang w:eastAsia="pt-BR"/>
        </w:rPr>
        <w:t xml:space="preserve">, em face de </w:t>
      </w:r>
      <w:r>
        <w:rPr>
          <w:rFonts w:eastAsia="Times New Roman" w:cs="Times New Roman" w:ascii="Cambria" w:hAnsi="Cambria"/>
          <w:b/>
          <w:bCs/>
          <w:color w:val="000000"/>
          <w:sz w:val="24"/>
          <w:szCs w:val="24"/>
          <w:lang w:eastAsia="pt-BR"/>
        </w:rPr>
        <w:t>XXX</w:t>
      </w:r>
      <w:r>
        <w:rPr>
          <w:rFonts w:eastAsia="Times New Roman" w:cs="Times New Roman" w:ascii="Cambria" w:hAnsi="Cambria"/>
          <w:color w:val="000000"/>
          <w:sz w:val="24"/>
          <w:szCs w:val="24"/>
          <w:lang w:eastAsia="pt-BR"/>
        </w:rPr>
        <w:t>, ao argumento de que esta, na condição de pré-candidata a Vereadora neste Município de XXX, realizou propaganda indevida através de publicação em página de “Facebook”, configurando pedido antecipado de voto.</w:t>
      </w:r>
    </w:p>
    <w:p>
      <w:pPr>
        <w:pStyle w:val="Normal"/>
        <w:tabs>
          <w:tab w:val="clear" w:pos="708"/>
          <w:tab w:val="left" w:pos="2490" w:leader="none"/>
        </w:tabs>
        <w:spacing w:lineRule="auto" w:line="360" w:before="0" w:after="0"/>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Compulsando os autos, verifica-se que a representada efetivamente publicou, na página do “Facebook” da pessoa de XXXX, uma mensagem em que informa o seu número de pré-candidata ao cargo de Vereadora, com os seguintes dizeres: </w:t>
      </w:r>
      <w:r>
        <w:rPr>
          <w:rFonts w:eastAsia="Times New Roman" w:cs="Times New Roman" w:ascii="Cambria" w:hAnsi="Cambria"/>
          <w:b/>
          <w:bCs/>
          <w:color w:val="000000"/>
          <w:sz w:val="24"/>
          <w:szCs w:val="24"/>
          <w:u w:val="single"/>
          <w:lang w:eastAsia="pt-BR"/>
        </w:rPr>
        <w:t>“XXXX me dá uma força 40444, esse é meu número”,</w:t>
      </w:r>
      <w:r>
        <w:rPr>
          <w:rFonts w:eastAsia="Times New Roman" w:cs="Times New Roman" w:ascii="Cambria" w:hAnsi="Cambria"/>
          <w:b/>
          <w:bCs/>
          <w:color w:val="000000"/>
          <w:sz w:val="24"/>
          <w:szCs w:val="24"/>
          <w:lang w:eastAsia="pt-BR"/>
        </w:rPr>
        <w:t xml:space="preserve"> </w:t>
      </w:r>
      <w:r>
        <w:rPr>
          <w:rFonts w:eastAsia="Times New Roman" w:cs="Times New Roman" w:ascii="Cambria" w:hAnsi="Cambria"/>
          <w:color w:val="000000"/>
          <w:sz w:val="24"/>
          <w:szCs w:val="24"/>
          <w:lang w:eastAsia="pt-BR"/>
        </w:rPr>
        <w:t>em data anterior à permitida pela legislação eleitoral.</w:t>
      </w:r>
    </w:p>
    <w:p>
      <w:pPr>
        <w:pStyle w:val="Normal"/>
        <w:spacing w:lineRule="auto" w:line="360" w:before="0" w:after="0"/>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Antes do dia 16 de agosto, qualquer mensagem levada ao conhecimento do eleitor, com pedido de voto, caracteriza a infração cível eleitoral tipificada no artigo 36, §3º, da Lei 9.504/97, sancionada com multa. Veja-se:</w:t>
      </w:r>
    </w:p>
    <w:p>
      <w:pPr>
        <w:pStyle w:val="Normal"/>
        <w:spacing w:lineRule="auto" w:line="360" w:before="0" w:after="0"/>
        <w:ind w:left="0" w:right="0" w:firstLine="1701"/>
        <w:jc w:val="both"/>
        <w:rPr>
          <w:rFonts w:ascii="Cambria" w:hAnsi="Cambria" w:eastAsia="Times New Roman" w:cs="Times New Roman"/>
          <w:sz w:val="28"/>
          <w:szCs w:val="28"/>
          <w:lang w:eastAsia="pt-BR"/>
        </w:rPr>
      </w:pPr>
      <w:r>
        <w:rPr>
          <w:rFonts w:eastAsia="Times New Roman" w:cs="Times New Roman" w:ascii="Cambria" w:hAnsi="Cambria"/>
          <w:sz w:val="28"/>
          <w:szCs w:val="28"/>
          <w:lang w:eastAsia="pt-BR"/>
        </w:rPr>
      </w:r>
    </w:p>
    <w:p>
      <w:pPr>
        <w:pStyle w:val="Normal"/>
        <w:widowControl/>
        <w:suppressAutoHyphens w:val="true"/>
        <w:bidi w:val="0"/>
        <w:spacing w:lineRule="auto" w:line="360" w:before="0" w:after="0"/>
        <w:ind w:left="2268" w:right="0" w:hanging="0"/>
        <w:jc w:val="both"/>
        <w:rPr>
          <w:rFonts w:ascii="Cambria" w:hAnsi="Cambria"/>
          <w:i w:val="false"/>
          <w:i w:val="false"/>
          <w:iCs w:val="false"/>
          <w:sz w:val="22"/>
          <w:szCs w:val="22"/>
        </w:rPr>
      </w:pPr>
      <w:r>
        <w:rPr>
          <w:rFonts w:eastAsia="Times New Roman" w:cs="Times New Roman" w:ascii="Cambria" w:hAnsi="Cambria"/>
          <w:i w:val="false"/>
          <w:iCs w:val="false"/>
          <w:color w:val="000000"/>
          <w:sz w:val="22"/>
          <w:szCs w:val="22"/>
          <w:lang w:eastAsia="pt-BR"/>
        </w:rPr>
        <w:t>§ 3</w:t>
      </w:r>
      <w:r>
        <w:rPr>
          <w:rFonts w:eastAsia="Times New Roman" w:cs="Times New Roman" w:ascii="Cambria" w:hAnsi="Cambria"/>
          <w:i w:val="false"/>
          <w:iCs w:val="false"/>
          <w:color w:val="000000"/>
          <w:sz w:val="22"/>
          <w:szCs w:val="22"/>
          <w:u w:val="single"/>
          <w:vertAlign w:val="superscript"/>
          <w:lang w:eastAsia="pt-BR"/>
        </w:rPr>
        <w:t>o</w:t>
      </w:r>
      <w:r>
        <w:rPr>
          <w:rFonts w:eastAsia="Times New Roman" w:cs="Times New Roman" w:ascii="Cambria" w:hAnsi="Cambria"/>
          <w:i w:val="false"/>
          <w:iCs w:val="false"/>
          <w:color w:val="000000"/>
          <w:sz w:val="22"/>
          <w:szCs w:val="22"/>
          <w:lang w:eastAsia="pt-BR"/>
        </w:rPr>
        <w:t xml:space="preserve"> A violação do disposto neste artigo sujeitará o responsável pela divulgação da propaganda e, quando comprovado o seu prévio conhecimento, o beneficiário à multa no valor de R$ 5.000,00 (cinco mil reais) a R$ 25.000,00 (vinte e cinco mil reais), ou ao equivalente ao custo da propaganda, se este for maior.</w:t>
      </w:r>
    </w:p>
    <w:p>
      <w:pPr>
        <w:pStyle w:val="Normal"/>
        <w:spacing w:lineRule="auto" w:line="360" w:before="0" w:after="0"/>
        <w:ind w:left="0" w:right="0" w:firstLine="1701"/>
        <w:jc w:val="both"/>
        <w:rPr>
          <w:rFonts w:ascii="Cambria" w:hAnsi="Cambria" w:eastAsia="Times New Roman" w:cs="Times New Roman"/>
          <w:sz w:val="28"/>
          <w:szCs w:val="28"/>
          <w:lang w:eastAsia="pt-BR"/>
        </w:rPr>
      </w:pPr>
      <w:r>
        <w:rPr>
          <w:rFonts w:eastAsia="Times New Roman" w:cs="Times New Roman" w:ascii="Cambria" w:hAnsi="Cambria"/>
          <w:sz w:val="28"/>
          <w:szCs w:val="28"/>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Da análise da mensagem publicada pela representada, conclui-se que ela flagrantemente violou a legislação eleitoral que estabelece o marco a partir do qual é permitido realizar propaganda eleitoral, visto que publicou, na rede social de outrem, pedido explícito de voto – através das chamadas “palavras mágicas” já reconhecidas pelo TSE - com os seguintes dizeres:</w:t>
      </w:r>
      <w:r>
        <w:rPr>
          <w:rFonts w:eastAsia="Times New Roman" w:cs="Times New Roman" w:ascii="Cambria" w:hAnsi="Cambria"/>
          <w:b/>
          <w:bCs/>
          <w:color w:val="000000"/>
          <w:sz w:val="24"/>
          <w:szCs w:val="24"/>
          <w:lang w:eastAsia="pt-BR"/>
        </w:rPr>
        <w:t xml:space="preserve"> </w:t>
      </w:r>
      <w:r>
        <w:rPr>
          <w:rFonts w:eastAsia="Times New Roman" w:cs="Times New Roman" w:ascii="Cambria" w:hAnsi="Cambria"/>
          <w:color w:val="000000"/>
          <w:sz w:val="24"/>
          <w:szCs w:val="24"/>
          <w:lang w:eastAsia="pt-BR"/>
        </w:rPr>
        <w:t>“</w:t>
      </w:r>
      <w:r>
        <w:rPr>
          <w:rFonts w:eastAsia="Times New Roman" w:cs="Times New Roman" w:ascii="Cambria" w:hAnsi="Cambria"/>
          <w:color w:val="000000"/>
          <w:sz w:val="24"/>
          <w:szCs w:val="24"/>
          <w:u w:val="single"/>
          <w:lang w:eastAsia="pt-BR"/>
        </w:rPr>
        <w:t xml:space="preserve">XXXX </w:t>
      </w:r>
      <w:r>
        <w:rPr>
          <w:rFonts w:eastAsia="Times New Roman" w:cs="Times New Roman" w:ascii="Cambria" w:hAnsi="Cambria"/>
          <w:b/>
          <w:bCs/>
          <w:color w:val="000000"/>
          <w:sz w:val="24"/>
          <w:szCs w:val="24"/>
          <w:u w:val="single"/>
          <w:lang w:eastAsia="pt-BR"/>
        </w:rPr>
        <w:t>me dá uma força 40444,</w:t>
      </w:r>
      <w:r>
        <w:rPr>
          <w:rFonts w:eastAsia="Times New Roman" w:cs="Times New Roman" w:ascii="Cambria" w:hAnsi="Cambria"/>
          <w:color w:val="000000"/>
          <w:sz w:val="24"/>
          <w:szCs w:val="24"/>
          <w:u w:val="single"/>
          <w:lang w:eastAsia="pt-BR"/>
        </w:rPr>
        <w:t xml:space="preserve"> esse é meu número”</w:t>
      </w:r>
      <w:r>
        <w:rPr>
          <w:rFonts w:eastAsia="Times New Roman" w:cs="Times New Roman" w:ascii="Cambria" w:hAnsi="Cambria"/>
          <w:color w:val="000000"/>
          <w:sz w:val="24"/>
          <w:szCs w:val="24"/>
          <w:lang w:eastAsia="pt-BR"/>
        </w:rPr>
        <w:t>.</w:t>
      </w:r>
    </w:p>
    <w:p>
      <w:pPr>
        <w:pStyle w:val="Normal"/>
        <w:spacing w:lineRule="auto" w:line="360" w:before="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Observa-se, inclusive, que a representada formulou tal pedido diretamente à eleitora </w:t>
      </w:r>
      <w:r>
        <w:rPr>
          <w:rFonts w:eastAsia="Times New Roman" w:cs="Times New Roman" w:ascii="Cambria" w:hAnsi="Cambria"/>
          <w:i/>
          <w:iCs/>
          <w:color w:val="000000"/>
          <w:sz w:val="24"/>
          <w:szCs w:val="24"/>
          <w:lang w:eastAsia="pt-BR"/>
        </w:rPr>
        <w:t xml:space="preserve">XXXX, </w:t>
      </w:r>
      <w:r>
        <w:rPr>
          <w:rFonts w:eastAsia="Times New Roman" w:cs="Times New Roman" w:ascii="Cambria" w:hAnsi="Cambria"/>
          <w:color w:val="000000"/>
          <w:sz w:val="24"/>
          <w:szCs w:val="24"/>
          <w:lang w:eastAsia="pt-BR"/>
        </w:rPr>
        <w:t xml:space="preserve">inclusive, marcando-a em seu comentário na página do “Facebook” da pessoa de XXX, e pedindo diretamente que a eleitora </w:t>
      </w:r>
      <w:r>
        <w:rPr>
          <w:rFonts w:eastAsia="Times New Roman" w:cs="Times New Roman" w:ascii="Cambria" w:hAnsi="Cambria"/>
          <w:b/>
          <w:bCs/>
          <w:color w:val="000000"/>
          <w:sz w:val="24"/>
          <w:szCs w:val="24"/>
          <w:lang w:eastAsia="pt-BR"/>
        </w:rPr>
        <w:t>lhe desse "uma força",</w:t>
      </w:r>
      <w:r>
        <w:rPr>
          <w:rFonts w:eastAsia="Times New Roman" w:cs="Times New Roman" w:ascii="Cambria" w:hAnsi="Cambria"/>
          <w:color w:val="000000"/>
          <w:sz w:val="24"/>
          <w:szCs w:val="24"/>
          <w:lang w:eastAsia="pt-BR"/>
        </w:rPr>
        <w:t xml:space="preserve"> ou seja, a representada claramente pediu voto na referida rede social, visto que pedir "força" a um eleitor, informando seu número nas urnas em seguida, configura expressões equivalentes ao "vote em mim".</w:t>
      </w:r>
    </w:p>
    <w:p>
      <w:pPr>
        <w:pStyle w:val="Normal"/>
        <w:spacing w:lineRule="auto" w:line="360" w:before="0" w:after="0"/>
        <w:ind w:left="0" w:right="0" w:firstLine="1701"/>
        <w:jc w:val="both"/>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 xml:space="preserve">Mister frisar que a mensagem escrita e publicada pela representada na rede social configura evidente pedido de voto, pois, ainda que ela não tenha diretamente escrito “vote em mim”, o pedido de voto realizado pela representada se deu através de “palavras mágicas”, prática esta reconhecida pelo Tribunal Superior Eleitoral e amplamente rechaçada, tal como o pedido de voto direto. </w:t>
      </w:r>
    </w:p>
    <w:p>
      <w:pPr>
        <w:pStyle w:val="Normal"/>
        <w:spacing w:lineRule="auto" w:line="360" w:before="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Ou seja, nada obstante a pré-candidata não tenha pedido voto com os dizeres “vote em mim”,</w:t>
      </w:r>
      <w:r>
        <w:rPr>
          <w:rFonts w:eastAsia="Times New Roman" w:cs="Times New Roman" w:ascii="Cambria" w:hAnsi="Cambria"/>
          <w:b/>
          <w:bCs/>
          <w:color w:val="000000"/>
          <w:sz w:val="24"/>
          <w:szCs w:val="24"/>
          <w:lang w:eastAsia="pt-BR"/>
        </w:rPr>
        <w:t xml:space="preserve"> ela mencionou expressamente seu número como pré-candidata, marcou a pessoa do eleitor para quem estava pedindo voto e disse: </w:t>
      </w:r>
      <w:r>
        <w:rPr>
          <w:rFonts w:eastAsia="Times New Roman" w:cs="Times New Roman" w:ascii="Cambria" w:hAnsi="Cambria"/>
          <w:b/>
          <w:bCs/>
          <w:caps/>
          <w:color w:val="000000"/>
          <w:sz w:val="24"/>
          <w:szCs w:val="24"/>
          <w:u w:val="single"/>
          <w:lang w:eastAsia="pt-BR"/>
        </w:rPr>
        <w:t>“XXX me dá uma força 40444 esse é meu número”.</w:t>
      </w:r>
    </w:p>
    <w:p>
      <w:pPr>
        <w:pStyle w:val="Normal"/>
        <w:spacing w:lineRule="auto" w:line="36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Oportuno transcrever o valioso ensinamento sobre a matéria, colhido da doutrina de Rodrigo Lopez Zilio </w:t>
      </w:r>
      <w:bookmarkStart w:id="0" w:name="_ftnref1"/>
      <w:r>
        <w:rPr>
          <w:rFonts w:eastAsia="Times New Roman" w:cs="Times New Roman" w:ascii="Cambria" w:hAnsi="Cambria"/>
          <w:color w:val="0000FF"/>
          <w:sz w:val="24"/>
          <w:szCs w:val="24"/>
          <w:vertAlign w:val="superscript"/>
          <w:lang w:eastAsia="pt-BR"/>
        </w:rPr>
        <w:t>1]</w:t>
      </w:r>
      <w:bookmarkEnd w:id="0"/>
      <w:r>
        <w:rPr>
          <w:rFonts w:eastAsia="Times New Roman" w:cs="Times New Roman" w:ascii="Cambria" w:hAnsi="Cambria"/>
          <w:color w:val="000000"/>
          <w:sz w:val="24"/>
          <w:szCs w:val="24"/>
          <w:lang w:eastAsia="pt-BR"/>
        </w:rPr>
        <w:t>:</w:t>
      </w:r>
    </w:p>
    <w:p>
      <w:pPr>
        <w:pStyle w:val="Normal"/>
        <w:spacing w:lineRule="auto" w:line="360" w:before="0" w:after="0"/>
        <w:ind w:left="0" w:right="0" w:firstLine="1701"/>
        <w:jc w:val="both"/>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widowControl/>
        <w:suppressAutoHyphens w:val="true"/>
        <w:bidi w:val="0"/>
        <w:spacing w:lineRule="auto" w:line="360" w:before="0" w:after="0"/>
        <w:ind w:left="2268" w:right="0" w:hanging="0"/>
        <w:jc w:val="both"/>
        <w:rPr>
          <w:i w:val="false"/>
          <w:i w:val="false"/>
          <w:iCs w:val="false"/>
        </w:rPr>
      </w:pPr>
      <w:r>
        <w:rPr>
          <w:rFonts w:cs="Times New Roman" w:ascii="Cambria" w:hAnsi="Cambria"/>
          <w:i w:val="false"/>
          <w:iCs w:val="false"/>
          <w:color w:val="000000"/>
          <w:sz w:val="22"/>
          <w:szCs w:val="22"/>
        </w:rPr>
        <w:t>O debate sobre o limite de conteúdo dos atos de pré-campanha abarca a exata compreensão do que consiste um pedido explícito de voto. Com efeito, pedido explícito é o realizado de forma direta, sem subterfúgios ou circunlóquios. No entanto, esse pedido explícito pode ser concretizado de forma textual (“preciso do teu voto”, “quero o teu voto”) ou, mesmo, de forma não textual. O pedido textual, em síntese, sempre emprega a palavra “voto” ou uma expressão de igual equivalência (v.g., sufrágio). </w:t>
      </w:r>
      <w:r>
        <w:rPr>
          <w:rFonts w:cs="Times New Roman" w:ascii="Cambria" w:hAnsi="Cambria"/>
          <w:b/>
          <w:bCs/>
          <w:i w:val="false"/>
          <w:iCs w:val="false"/>
          <w:color w:val="000000"/>
          <w:sz w:val="22"/>
          <w:szCs w:val="22"/>
        </w:rPr>
        <w:t xml:space="preserve">De outra parte, embora não adote formalmente a palavra “voto”, o pedido não textual emprega um conjunto de frases, expressões (ex. slogan de campanha anterior), símbolos, números e outros elementos de referência que guardam pertinência direta com o ato de votar. Pode-se exemplificar com uma hipótese na qual o futuro candidato se dirige ao público em geral referindo que irá concorrer a determinado cargo e afirma “conto com teu apoio”, finalizando com seu nome e o número do partido. Nessa situação, resta evidenciado o pedido explícito – ainda que não textual – de voto, na medida em que existe um todo articulado que conjuga o cargo pretendido e, fundamentalmente, agrega a um suposto pedido de apoio o número da legenda do partido. Do simples fato desse pedido de apoio ser necessariamente conjugado com um número de partido – que coincide com o voto a ser exarado pelo eleitor na urna eletrônica (seja na legenda ou no próprio candidato ao cargo do Poder Executivo) - , pode-se concluir que se está diante de um pedido explicito (não textual) de voto. Em síntese, não existe nenhuma diferença entre a mensagem referir diretamente “preciso do teu voto” ou “conto com teu apoio, Fulano de tal, Número XX”; ambos se configuram como pedido explícito de voto – fundamentalmente porque a segunda hipótese, ao conjugar pedido de apoio com um número de partido ou candidato ao Poder Executivo, em verdade, também faz um pedido de voto. </w:t>
      </w:r>
      <w:r>
        <w:rPr>
          <w:rFonts w:cs="Times New Roman" w:ascii="Cambria" w:hAnsi="Cambria"/>
          <w:i w:val="false"/>
          <w:iCs w:val="false"/>
          <w:color w:val="000000"/>
          <w:sz w:val="22"/>
          <w:szCs w:val="22"/>
        </w:rPr>
        <w:t>[...]” (Zilio, Rodrigo López. DIREITO ELEITORAL. 6ª ed. Porto Alegre: Verbo Jurídico, 2018, p. 383-384). (grifou-se)</w:t>
      </w:r>
    </w:p>
    <w:p>
      <w:pPr>
        <w:pStyle w:val="Normal"/>
        <w:spacing w:lineRule="auto" w:line="36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b/>
          <w:bCs/>
          <w:color w:val="000000"/>
          <w:sz w:val="24"/>
          <w:szCs w:val="24"/>
          <w:u w:val="single"/>
          <w:lang w:eastAsia="pt-BR"/>
        </w:rPr>
        <w:t>Importante registrar, ainda, a evolução da jurisprudência do TSE sobre o tema, pois atualmente considera propaganda antecipada ilícita todas as formas de pedido explícito de votos, inclusive o “uso de palavras mágicas”, ou seja, que embora não contenha o tradicional “vote em mim”, utiliza expressões equivalentes que possuem o mesmo sentido. Nesse sentido,  merecem destaque os seguintes precedentes do TSE:</w:t>
      </w:r>
    </w:p>
    <w:p>
      <w:pPr>
        <w:pStyle w:val="Normal"/>
        <w:spacing w:lineRule="auto" w:line="360" w:before="0" w:after="0"/>
        <w:ind w:left="0" w:right="0" w:firstLine="1701"/>
        <w:jc w:val="both"/>
        <w:rPr>
          <w:rFonts w:ascii="Cambria" w:hAnsi="Cambria" w:eastAsia="Times New Roman" w:cs="Times New Roman"/>
          <w:b/>
          <w:b/>
          <w:bCs/>
          <w:color w:val="000000"/>
          <w:sz w:val="24"/>
          <w:szCs w:val="24"/>
          <w:u w:val="single"/>
          <w:lang w:eastAsia="pt-BR"/>
        </w:rPr>
      </w:pPr>
      <w:r>
        <w:rPr>
          <w:rFonts w:eastAsia="Times New Roman" w:cs="Times New Roman" w:ascii="Cambria" w:hAnsi="Cambria"/>
          <w:b/>
          <w:bCs/>
          <w:color w:val="000000"/>
          <w:sz w:val="24"/>
          <w:szCs w:val="24"/>
          <w:u w:val="single"/>
          <w:lang w:eastAsia="pt-BR"/>
        </w:rPr>
        <w:br/>
      </w:r>
    </w:p>
    <w:p>
      <w:pPr>
        <w:pStyle w:val="Normal"/>
        <w:widowControl/>
        <w:suppressAutoHyphens w:val="true"/>
        <w:bidi w:val="0"/>
        <w:spacing w:lineRule="auto" w:line="240" w:before="0" w:after="0"/>
        <w:ind w:left="2268" w:right="0" w:hanging="0"/>
        <w:jc w:val="both"/>
        <w:rPr>
          <w:rFonts w:ascii="Cambria" w:hAnsi="Cambria"/>
          <w:sz w:val="22"/>
          <w:szCs w:val="22"/>
        </w:rPr>
      </w:pPr>
      <w:r>
        <w:rPr>
          <w:rFonts w:eastAsia="Times New Roman" w:cs="Times New Roman" w:ascii="Cambria" w:hAnsi="Cambria"/>
          <w:i/>
          <w:iCs/>
          <w:color w:val="000000"/>
          <w:sz w:val="22"/>
          <w:szCs w:val="22"/>
          <w:lang w:eastAsia="pt-BR"/>
        </w:rPr>
        <w:t>(...) 5.</w:t>
      </w:r>
      <w:r>
        <w:rPr>
          <w:rFonts w:eastAsia="Times New Roman" w:cs="Times New Roman" w:ascii="Cambria" w:hAnsi="Cambria"/>
          <w:i/>
          <w:iCs/>
          <w:color w:val="000000"/>
          <w:sz w:val="22"/>
          <w:szCs w:val="22"/>
          <w:u w:val="single"/>
          <w:lang w:eastAsia="pt-BR"/>
        </w:rPr>
        <w:t>Na linha da jurisprudência deste Tribunal Superior, "o pedido explícito de votos pode ser identificado pelo uso de determinadas 'palavras mágicas', como, por exemplo, 'apoiem' e 'elejam', que nos levem a concluir que o emissor está defendendo publicamente a sua vitória" (AgR–AI 29–31, rel. Min. Luís Roberto Barroso, DJE de 3.12.2018).</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 os seguintes dizeres, transcritos no aresto recorrido: "(...) Espero que todos vocês transformem isso em voto, viu? Claro que não só pra Helena... Vocês lembrem do cristão que tá aqui [apontando para si], também do Aldo e de todo mundo (...)".</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(Agravo de Instrumento nº 060003326, Acórdão, Relator(a) Min. Sergio Silveira Banhos, Publicação:  DJE - Diário de justiça eletrônico, Tomo 28, Data 10/02/2020)</w:t>
      </w:r>
    </w:p>
    <w:p>
      <w:pPr>
        <w:pStyle w:val="Normal"/>
        <w:spacing w:lineRule="auto" w:line="240" w:before="0" w:after="0"/>
        <w:rPr>
          <w:rFonts w:ascii="Cambria" w:hAnsi="Cambria" w:eastAsia="Times New Roman" w:cs="Times New Roman"/>
          <w:sz w:val="22"/>
          <w:szCs w:val="22"/>
          <w:lang w:eastAsia="pt-BR"/>
        </w:rPr>
      </w:pPr>
      <w:r>
        <w:rPr>
          <w:rFonts w:eastAsia="Times New Roman" w:cs="Times New Roman" w:ascii="Cambria" w:hAnsi="Cambria"/>
          <w:sz w:val="22"/>
          <w:szCs w:val="22"/>
          <w:lang w:eastAsia="pt-BR"/>
        </w:rPr>
      </w:r>
    </w:p>
    <w:p>
      <w:pPr>
        <w:pStyle w:val="Normal"/>
        <w:spacing w:lineRule="auto" w:line="240" w:before="0" w:after="0"/>
        <w:ind w:left="1701" w:right="-1" w:hanging="0"/>
        <w:jc w:val="both"/>
        <w:rPr>
          <w:rFonts w:ascii="Cambria" w:hAnsi="Cambria" w:eastAsia="Times New Roman" w:cs="Times New Roman"/>
          <w:i/>
          <w:i/>
          <w:iCs/>
          <w:color w:val="000000"/>
          <w:sz w:val="24"/>
          <w:szCs w:val="24"/>
          <w:lang w:eastAsia="pt-BR"/>
        </w:rPr>
      </w:pPr>
      <w:r>
        <w:rPr>
          <w:rFonts w:eastAsia="Times New Roman" w:cs="Times New Roman" w:ascii="Cambria" w:hAnsi="Cambria"/>
          <w:i/>
          <w:iCs/>
          <w:color w:val="000000"/>
          <w:sz w:val="24"/>
          <w:szCs w:val="24"/>
          <w:lang w:eastAsia="pt-BR"/>
        </w:rPr>
      </w:r>
    </w:p>
    <w:p>
      <w:pPr>
        <w:pStyle w:val="Normal"/>
        <w:widowControl/>
        <w:suppressAutoHyphens w:val="true"/>
        <w:bidi w:val="0"/>
        <w:spacing w:lineRule="auto" w:line="240" w:before="0" w:after="0"/>
        <w:ind w:left="2268" w:right="0" w:hanging="0"/>
        <w:jc w:val="both"/>
        <w:rPr>
          <w:rFonts w:ascii="Cambria" w:hAnsi="Cambria"/>
          <w:sz w:val="22"/>
          <w:szCs w:val="22"/>
        </w:rPr>
      </w:pPr>
      <w:r>
        <w:rPr>
          <w:rFonts w:eastAsia="Times New Roman" w:cs="Times New Roman" w:ascii="Cambria" w:hAnsi="Cambria"/>
          <w:i/>
          <w:iCs/>
          <w:color w:val="000000"/>
          <w:sz w:val="22"/>
          <w:szCs w:val="22"/>
          <w:lang w:eastAsia="pt-BR"/>
        </w:rPr>
        <w:t>ELEIÇÕES 2018. AGRAVO REGIMENTAL. AGRAVO. RECURSO ESPECIAL. </w:t>
      </w:r>
      <w:r>
        <w:rPr>
          <w:rFonts w:eastAsia="Times New Roman" w:cs="Times New Roman" w:ascii="Cambria" w:hAnsi="Cambria"/>
          <w:b/>
          <w:bCs/>
          <w:i/>
          <w:iCs/>
          <w:color w:val="000000"/>
          <w:sz w:val="22"/>
          <w:szCs w:val="22"/>
          <w:lang w:eastAsia="pt-BR"/>
        </w:rPr>
        <w:t>PROPAGANDA ELEITORAL EXTEMPORÂNEA CARACTERIZADA. REUNIÃO. CLUBE. DISCURSO. PEDIDO EXPLÍCITO DE VOTOS. POSICIONAMENTO EM CONSONÂNCIA COM O ENTENDIMENTO DESTA CORTE SUPERIOR. EVENTO ABERTO AO PÚBLICO.</w:t>
      </w:r>
      <w:r>
        <w:rPr>
          <w:rFonts w:eastAsia="Times New Roman" w:cs="Times New Roman" w:ascii="Cambria" w:hAnsi="Cambria"/>
          <w:i/>
          <w:iCs/>
          <w:color w:val="000000"/>
          <w:sz w:val="22"/>
          <w:szCs w:val="22"/>
          <w:lang w:eastAsia="pt-BR"/>
        </w:rPr>
        <w:t> REEXAME DE PROVAS. IMPOSSIBILIDADE. SÚMULA Nº 24/TSE. DISSÍDIO JURISPRUDENCIAL NÃO DEMONSTRADO. SÚMULA Nº 28/TSE. DESPROVIMENTO.</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1. A Corte de origem, soberana na análise do conjunto fático–probatório dos autos, entendeu que o ora agravante incorreu na vedação contida no caput do art. 36–A da Lei das Eleições, uma vez que fez pedido explícito de voto para pré–candidato a cargo de deputado federal.</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2. Extrai–se do acórdão regional que o agravante, ao discursar em evento realizado em um clube, proferiu a seguinte frase: "Peço, confie no Felipe como nosso Federal" (ID nº 17896488).</w:t>
      </w:r>
    </w:p>
    <w:p>
      <w:pPr>
        <w:pStyle w:val="Normal"/>
        <w:widowControl/>
        <w:suppressAutoHyphens w:val="true"/>
        <w:bidi w:val="0"/>
        <w:spacing w:lineRule="auto" w:line="240" w:before="0" w:after="0"/>
        <w:ind w:left="2268" w:right="0" w:hanging="0"/>
        <w:jc w:val="both"/>
        <w:rPr>
          <w:rFonts w:ascii="Cambria" w:hAnsi="Cambria" w:eastAsia="Times New Roman" w:cs="Times New Roman"/>
          <w:b/>
          <w:b/>
          <w:bCs/>
          <w:i/>
          <w:i/>
          <w:iCs/>
          <w:color w:val="000000"/>
          <w:sz w:val="22"/>
          <w:szCs w:val="22"/>
          <w:u w:val="single"/>
          <w:lang w:eastAsia="pt-BR"/>
        </w:rPr>
      </w:pPr>
      <w:r>
        <w:rPr>
          <w:rFonts w:eastAsia="Times New Roman" w:cs="Times New Roman" w:ascii="Cambria" w:hAnsi="Cambria"/>
          <w:b/>
          <w:bCs/>
          <w:i/>
          <w:iCs/>
          <w:color w:val="000000"/>
          <w:sz w:val="22"/>
          <w:szCs w:val="22"/>
          <w:u w:val="single"/>
          <w:lang w:eastAsia="pt-BR"/>
        </w:rPr>
        <w:t>3. A propaganda eleitoral antecipada não se configura somente quando veiculada a mensagem vote em mim. Caracteriza–se também em hipóteses nas quais se identifiquem elementos que traduzam o pedido explícito de votos.</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4. O Tribunal a quo, ao concluir pela prática de propaganda eleitoral antecipada, adotou posicionamento em consonância com o entendimento desta Corte Superior.</w:t>
      </w:r>
    </w:p>
    <w:p>
      <w:pPr>
        <w:pStyle w:val="Normal"/>
        <w:widowControl/>
        <w:suppressAutoHyphens w:val="true"/>
        <w:bidi w:val="0"/>
        <w:spacing w:lineRule="auto" w:line="240" w:before="0" w:after="0"/>
        <w:ind w:left="2268" w:right="0" w:hanging="0"/>
        <w:jc w:val="both"/>
        <w:rPr>
          <w:rFonts w:ascii="Cambria" w:hAnsi="Cambria"/>
          <w:sz w:val="24"/>
          <w:szCs w:val="24"/>
        </w:rPr>
      </w:pPr>
      <w:r>
        <w:rPr>
          <w:rFonts w:eastAsia="Times New Roman" w:cs="Times New Roman" w:ascii="Cambria" w:hAnsi="Cambria"/>
          <w:i/>
          <w:iCs/>
          <w:color w:val="000000"/>
          <w:sz w:val="24"/>
          <w:szCs w:val="24"/>
          <w:lang w:eastAsia="pt-BR"/>
        </w:rPr>
        <w:t>(...) </w:t>
      </w:r>
      <w:r>
        <w:rPr>
          <w:rFonts w:eastAsia="Times New Roman" w:cs="Times New Roman" w:ascii="Cambria" w:hAnsi="Cambria"/>
          <w:color w:val="000000"/>
          <w:sz w:val="24"/>
          <w:szCs w:val="24"/>
          <w:lang w:eastAsia="pt-BR"/>
        </w:rPr>
        <w:t>(Agravo de Instrumento nº 060278062, Acórdão, Relator(a) Min. Tarcisio Vieira De Carvalho Neto, Publicação:  DJE - Diário de justiça eletrônico, Tomo 53, Data 18/03/2020)</w:t>
      </w:r>
    </w:p>
    <w:p>
      <w:pPr>
        <w:pStyle w:val="Normal"/>
        <w:spacing w:lineRule="auto" w:line="24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widowControl/>
        <w:suppressAutoHyphens w:val="true"/>
        <w:bidi w:val="0"/>
        <w:spacing w:lineRule="auto" w:line="240" w:before="0" w:after="0"/>
        <w:ind w:left="2268" w:right="0" w:hanging="0"/>
        <w:jc w:val="both"/>
        <w:rPr>
          <w:rFonts w:ascii="Cambria" w:hAnsi="Cambria"/>
          <w:sz w:val="22"/>
          <w:szCs w:val="22"/>
        </w:rPr>
      </w:pPr>
      <w:r>
        <w:rPr>
          <w:rFonts w:eastAsia="Times New Roman" w:cs="Times New Roman" w:ascii="Cambria" w:hAnsi="Cambria"/>
          <w:i/>
          <w:iCs/>
          <w:color w:val="000000"/>
          <w:sz w:val="22"/>
          <w:szCs w:val="22"/>
          <w:lang w:eastAsia="pt-BR"/>
        </w:rPr>
        <w:t>ELEIÇÕES 2018. EMBARGOS DE DECLARAÇÃO. RECEBIMENTO COMO AGRAVO REGIMENTAL. AGRAVO EM RECURSO ESPECIAL. REPRESENTAÇÃO. </w:t>
      </w:r>
      <w:r>
        <w:rPr>
          <w:rFonts w:eastAsia="Times New Roman" w:cs="Times New Roman" w:ascii="Cambria" w:hAnsi="Cambria"/>
          <w:b/>
          <w:bCs/>
          <w:i/>
          <w:iCs/>
          <w:color w:val="000000"/>
          <w:sz w:val="22"/>
          <w:szCs w:val="22"/>
          <w:lang w:eastAsia="pt-BR"/>
        </w:rPr>
        <w:t>PROPAGANDA ELEITORAL ANTECIPADA. EVENTO. PARTIDO POLÍTICO. APRESENTAÇÃO. PRÉ–CANDIDATOS. DISCURSO. PEDIDO EXPLÍCITO DE VOTOS. TRANSMISSÃO. REDES SOCIAIS</w:t>
      </w:r>
      <w:r>
        <w:rPr>
          <w:rFonts w:eastAsia="Times New Roman" w:cs="Times New Roman" w:ascii="Cambria" w:hAnsi="Cambria"/>
          <w:i/>
          <w:iCs/>
          <w:color w:val="000000"/>
          <w:sz w:val="22"/>
          <w:szCs w:val="22"/>
          <w:lang w:eastAsia="pt-BR"/>
        </w:rPr>
        <w:t>. MULTA. ART. 36, § 3º, DA LEI 9.504/97.</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SÍNTESE DO CASO</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Trata–se de embargos de declaração opostos em face de decisão monocrática por meio da qual foi negado seguimento a agravo em recurso especial, confirmando–se, assim, o acórdão regional que, com fundamento no art. 36, § 3º, da Lei 9.504/97, condenou o agravante ao pagamento de multa no valor de R$ 5.000,00 por propaganda eleitoral extemporânea, veiculada em discurso proferido durante evento partidário realizado em 12.5.2018 e transmitido em tempo real pelas redes sociais do pré–candidato.</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ANÁLISE DOS EMBARGOS DE DECLARAÇÃO/AGRAVO REGIMENTAL</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2. "Nos termos da jurisprudência deste Tribunal Superior, os embargos de declaração, com pretensão infringente, opostos em face de decisão monocrática, devem ser recebidos como agravo regimental" (REspe 0600453–69, rel. Min. Tarcisio Vieira de Carvalho Neto, DJE de 26.8.2019).</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3. A alegação de que não foi apresentada nem analisada a íntegra do vídeo cujo trecho serviu como prova para se concluir pela veiculação de pedido explícito de voto e de propaganda eleitoral antecipada, a fim de se averiguar o contexto e o real sentido das frases empregadas pelo pré–candidato no discurso proferido, não merece conhecimento, pois foi suscitada pela primeira vez no agravo regimental, eis que não foi deduzida nas razões do recurso especial, tampouco no agravo nos próprios autos, caracterizando indevida inovação recursal. Nesse sentido: AgR–AI 466–98, rel. Min. Luiz Fux,  DJE de 16.2.2018.</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4. É insubsistente o argumento de que a decisão agravada não teria se pronunciado sobre o alegado caráter intrapartidário do evento de apresentação de pré–candidatos, no qual foi veiculada propaganda eleitoral antecipada, pois constou do decisum impugnado que o Tribunal de origem, mediante premissas fáticas insuscetíveis de reexame em recurso especial, consignou que o citado evento não se restringiu ao âmbito intrapartidário, pois foi transmitido ao vivo por meio de aplicativos de internet e nas redes sociais dos representados.</w:t>
      </w:r>
    </w:p>
    <w:p>
      <w:pPr>
        <w:pStyle w:val="Normal"/>
        <w:widowControl/>
        <w:suppressAutoHyphens w:val="true"/>
        <w:bidi w:val="0"/>
        <w:spacing w:lineRule="auto" w:line="240" w:before="0" w:after="0"/>
        <w:ind w:left="2268" w:right="0" w:hanging="0"/>
        <w:jc w:val="both"/>
        <w:rPr>
          <w:rFonts w:ascii="Cambria" w:hAnsi="Cambria"/>
          <w:sz w:val="24"/>
          <w:szCs w:val="24"/>
        </w:rPr>
      </w:pPr>
      <w:r>
        <w:rPr>
          <w:rFonts w:eastAsia="Times New Roman" w:cs="Times New Roman" w:ascii="Cambria" w:hAnsi="Cambria"/>
          <w:i/>
          <w:iCs/>
          <w:color w:val="000000"/>
          <w:sz w:val="22"/>
          <w:szCs w:val="22"/>
          <w:u w:val="single"/>
          <w:lang w:eastAsia="pt-BR"/>
        </w:rPr>
        <w:t>5. Na linha da jurisprudência deste Tribunal Superior, "o pedido explícito de votos pode ser identificado pelo uso de determinadas 'palavras mágicas', como, por exemplo, 'apoiem' e 'elejam', que nos levem a concluir que o emissor está defendendo publicamente a sua vitória" (AgR–AI 29–31, rel. Min. Luís Roberto Barroso, DJE de 3.12.2018). Ademais, esta Corte já teve a oportunidade de manter a multa aplicada em face de propaganda eleitoral antecipada quando o pedido de votos foi veiculado em evento partidário de livre acesso ao público em geral, tal qual ocorreu, no caso, em decorrência da</w:t>
      </w:r>
      <w:r>
        <w:rPr>
          <w:rFonts w:eastAsia="Times New Roman" w:cs="Times New Roman" w:ascii="Cambria" w:hAnsi="Cambria"/>
          <w:i/>
          <w:iCs/>
          <w:color w:val="000000"/>
          <w:sz w:val="24"/>
          <w:szCs w:val="24"/>
          <w:u w:val="single"/>
          <w:lang w:eastAsia="pt-BR"/>
        </w:rPr>
        <w:t xml:space="preserve"> </w:t>
      </w:r>
      <w:r>
        <w:rPr>
          <w:rFonts w:eastAsia="Times New Roman" w:cs="Times New Roman" w:ascii="Cambria" w:hAnsi="Cambria"/>
          <w:i/>
          <w:iCs/>
          <w:color w:val="000000"/>
          <w:sz w:val="22"/>
          <w:szCs w:val="22"/>
          <w:u w:val="single"/>
          <w:lang w:eastAsia="pt-BR"/>
        </w:rPr>
        <w:t>transmissão ao vivo na internet. Nesse sentido: AgR–REspe 70–65, rel. Min. João Otávio de Noronha, DJE de 15.4.2015.</w:t>
      </w:r>
    </w:p>
    <w:p>
      <w:pPr>
        <w:pStyle w:val="Normal"/>
        <w:widowControl/>
        <w:suppressAutoHyphens w:val="true"/>
        <w:bidi w:val="0"/>
        <w:spacing w:lineRule="auto" w:line="240" w:before="0" w:after="0"/>
        <w:ind w:left="2268" w:right="0" w:hanging="0"/>
        <w:jc w:val="both"/>
        <w:rPr>
          <w:rFonts w:ascii="Cambria" w:hAnsi="Cambria"/>
          <w:sz w:val="22"/>
          <w:szCs w:val="22"/>
        </w:rPr>
      </w:pPr>
      <w:r>
        <w:rPr>
          <w:rFonts w:eastAsia="Times New Roman" w:cs="Times New Roman" w:ascii="Cambria" w:hAnsi="Cambria"/>
          <w:i/>
          <w:iCs/>
          <w:color w:val="000000"/>
          <w:sz w:val="22"/>
          <w:szCs w:val="22"/>
          <w:u w:val="single"/>
          <w:lang w:eastAsia="pt-BR"/>
        </w:rPr>
        <w:t>6. Na espécie, o Tribunal Regional Eleitoral concluiu pela configuração de propaganda eleitoral antecipada por entender que o agravante, de maneira explícita e sem margem de dúvida, pediu votos para si e para outros pré–candidatos ao pronunciar, em discurso proferido durante evento de apresentação de pré–candidaturas do partido Solidariedade (SD), os seguintes dizeres, transcritos no aresto recorrido: "(...) Espero que todos vocês transformem isso em voto, viu? Claro que não só pra Helena... Vocês lembrem do cristão que tá aqui [apontando para si próprio], também do Aldo e de todo mundo (...)".</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7. O acórdão regional está de acordo com a jurisprudência deste Tribunal Superior, o que atrai a incidência do verbete sumular 30 do TSE, o qual "pode ser fundamento utilizado para afastar ambas as hipóteses de cabimento do recurso especial – por afronta à lei e dissídio jurisprudencial" (AgR–AI 152–60, rel. Min. Luciana Lóssio, DJE de 27.4.2017).</w:t>
      </w:r>
    </w:p>
    <w:p>
      <w:pPr>
        <w:pStyle w:val="Normal"/>
        <w:widowControl/>
        <w:suppressAutoHyphens w:val="true"/>
        <w:bidi w:val="0"/>
        <w:spacing w:lineRule="auto" w:line="240" w:before="0" w:after="0"/>
        <w:ind w:left="2268" w:right="0" w:hanging="0"/>
        <w:jc w:val="both"/>
        <w:rPr>
          <w:rFonts w:ascii="Cambria" w:hAnsi="Cambria" w:eastAsia="Times New Roman" w:cs="Times New Roman"/>
          <w:i/>
          <w:i/>
          <w:iCs/>
          <w:color w:val="000000"/>
          <w:sz w:val="22"/>
          <w:szCs w:val="22"/>
          <w:lang w:eastAsia="pt-BR"/>
        </w:rPr>
      </w:pPr>
      <w:r>
        <w:rPr>
          <w:rFonts w:eastAsia="Times New Roman" w:cs="Times New Roman" w:ascii="Cambria" w:hAnsi="Cambria"/>
          <w:i/>
          <w:iCs/>
          <w:color w:val="000000"/>
          <w:sz w:val="22"/>
          <w:szCs w:val="22"/>
          <w:lang w:eastAsia="pt-BR"/>
        </w:rPr>
        <w:t>CONCLUSÃO</w:t>
      </w:r>
    </w:p>
    <w:p>
      <w:pPr>
        <w:pStyle w:val="Normal"/>
        <w:widowControl/>
        <w:suppressAutoHyphens w:val="true"/>
        <w:bidi w:val="0"/>
        <w:spacing w:lineRule="auto" w:line="240" w:before="0" w:after="0"/>
        <w:ind w:left="2268" w:right="0" w:hanging="0"/>
        <w:jc w:val="both"/>
        <w:rPr>
          <w:rFonts w:ascii="Cambria" w:hAnsi="Cambria"/>
          <w:sz w:val="22"/>
          <w:szCs w:val="22"/>
        </w:rPr>
      </w:pPr>
      <w:r>
        <w:rPr>
          <w:rFonts w:eastAsia="Times New Roman" w:cs="Times New Roman" w:ascii="Cambria" w:hAnsi="Cambria"/>
          <w:i/>
          <w:iCs/>
          <w:color w:val="000000"/>
          <w:sz w:val="22"/>
          <w:szCs w:val="22"/>
          <w:lang w:eastAsia="pt-BR"/>
        </w:rPr>
        <w:t>Embargos de declaração recebidos como agravo regimental, a que se nega provimento.</w:t>
      </w:r>
      <w:r>
        <w:rPr>
          <w:rFonts w:eastAsia="Times New Roman" w:cs="Times New Roman" w:ascii="Cambria" w:hAnsi="Cambria"/>
          <w:color w:val="000000"/>
          <w:sz w:val="22"/>
          <w:szCs w:val="22"/>
          <w:lang w:eastAsia="pt-BR"/>
        </w:rPr>
        <w:t> </w:t>
      </w:r>
    </w:p>
    <w:p>
      <w:pPr>
        <w:pStyle w:val="Normal"/>
        <w:widowControl/>
        <w:suppressAutoHyphens w:val="true"/>
        <w:bidi w:val="0"/>
        <w:spacing w:lineRule="auto" w:line="240" w:before="0" w:after="0"/>
        <w:ind w:left="2268" w:right="0" w:hanging="0"/>
        <w:jc w:val="both"/>
        <w:rPr>
          <w:rFonts w:ascii="Cambria" w:hAnsi="Cambria" w:eastAsia="Times New Roman" w:cs="Times New Roman"/>
          <w:color w:val="000000"/>
          <w:sz w:val="22"/>
          <w:szCs w:val="22"/>
          <w:lang w:eastAsia="pt-BR"/>
        </w:rPr>
      </w:pPr>
      <w:r>
        <w:rPr>
          <w:rFonts w:eastAsia="Times New Roman" w:cs="Times New Roman" w:ascii="Cambria" w:hAnsi="Cambria"/>
          <w:color w:val="000000"/>
          <w:sz w:val="22"/>
          <w:szCs w:val="22"/>
          <w:lang w:eastAsia="pt-BR"/>
        </w:rPr>
        <w:t>(Agravo de Instrumento nº 060003326, Acórdão, Relator(a) Min. Sergio Silveira Banhos, Publicação: DJE - Diário de justiça eletrônico, Tomo 28, Data 10/02/2020)</w:t>
      </w:r>
    </w:p>
    <w:p>
      <w:pPr>
        <w:pStyle w:val="Normal"/>
        <w:spacing w:lineRule="auto" w:line="360" w:before="0" w:after="0"/>
        <w:rPr>
          <w:rFonts w:ascii="Cambria" w:hAnsi="Cambria" w:eastAsia="Times New Roman" w:cs="Times New Roman"/>
          <w:sz w:val="22"/>
          <w:szCs w:val="22"/>
          <w:lang w:eastAsia="pt-BR"/>
        </w:rPr>
      </w:pPr>
      <w:r>
        <w:rPr>
          <w:rFonts w:eastAsia="Times New Roman" w:cs="Times New Roman" w:ascii="Cambria" w:hAnsi="Cambria"/>
          <w:sz w:val="22"/>
          <w:szCs w:val="22"/>
          <w:lang w:eastAsia="pt-BR"/>
        </w:rPr>
      </w:r>
    </w:p>
    <w:p>
      <w:pPr>
        <w:pStyle w:val="Normal"/>
        <w:spacing w:lineRule="auto" w:line="360" w:before="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 xml:space="preserve"> </w:t>
      </w:r>
      <w:r>
        <w:rPr>
          <w:rFonts w:eastAsia="Times New Roman" w:cs="Times New Roman" w:ascii="Cambria" w:hAnsi="Cambria"/>
          <w:color w:val="000000"/>
          <w:sz w:val="24"/>
          <w:szCs w:val="24"/>
          <w:lang w:eastAsia="pt-BR"/>
        </w:rPr>
        <w:t xml:space="preserve">No caso em testilha, portanto, restou amplamente demonstrada a ocorrência de propaganda eleitoral extemporânea, mediante pedido de voto, uma vez que a representada mencionou expressamente seu número como pré-candidata à Vereadora de XXX e pediu à eleitora diretamente que lhe “desse uma força”.  </w:t>
      </w:r>
    </w:p>
    <w:p>
      <w:pPr>
        <w:pStyle w:val="Normal"/>
        <w:spacing w:lineRule="auto" w:line="360" w:before="0" w:after="0"/>
        <w:ind w:left="0" w:right="0" w:firstLine="1701"/>
        <w:jc w:val="both"/>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É certo, também, que a propaganda lançada pela representada não se alinha a nenhuma das </w:t>
      </w:r>
      <w:r>
        <w:rPr>
          <w:rFonts w:eastAsia="Times New Roman" w:cs="Times New Roman" w:ascii="Cambria" w:hAnsi="Cambria"/>
          <w:b/>
          <w:bCs/>
          <w:color w:val="000000"/>
          <w:sz w:val="24"/>
          <w:szCs w:val="24"/>
          <w:u w:val="single"/>
          <w:lang w:eastAsia="pt-BR"/>
        </w:rPr>
        <w:t>exceções previstas no art. 36-A</w:t>
      </w:r>
      <w:r>
        <w:rPr>
          <w:rFonts w:eastAsia="Times New Roman" w:cs="Times New Roman" w:ascii="Cambria" w:hAnsi="Cambria"/>
          <w:color w:val="000000"/>
          <w:sz w:val="24"/>
          <w:szCs w:val="24"/>
          <w:lang w:eastAsia="pt-BR"/>
        </w:rPr>
        <w:t>, da Lei das Eleições, posto que não se trata de entrevista, encontro ou programa no rádio, TV ou internet (inciso I); nem de encontros, seminários ou congressos em ambiente fechado do partido político (inciso II), tampouco de prévias partidárias e sua divulgação interna (inciso III). Também, não é divulgação de atos parlamentares e debates legislativos (inciso IV), nem divulgação de posicionamento pessoal sobre questões políticas em redes sociais (inciso V) e, finalmente, de reuniões para divulgação de ideias, objetivos e propostas partidárias (inciso VI).</w:t>
      </w:r>
    </w:p>
    <w:p>
      <w:pPr>
        <w:pStyle w:val="Normal"/>
        <w:spacing w:lineRule="auto" w:line="36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 xml:space="preserve">Neste sentido, tem-se que a representada incorreu em conduta expressamente vedada pela legislação em tela, posto que a mesma, fora do prazo previsto na legislação pátria para realização de campanha eleitoral, publicou mensagem no “Facebook” com pedido explícito de voto. </w:t>
      </w:r>
    </w:p>
    <w:p>
      <w:pPr>
        <w:pStyle w:val="Normal"/>
        <w:spacing w:lineRule="auto" w:line="360" w:before="0" w:after="0"/>
        <w:ind w:left="1701" w:right="0" w:hanging="0"/>
        <w:jc w:val="both"/>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1" w:firstLine="1701"/>
        <w:jc w:val="both"/>
        <w:rPr>
          <w:rFonts w:ascii="Cambria" w:hAnsi="Cambria"/>
          <w:sz w:val="24"/>
          <w:szCs w:val="24"/>
        </w:rPr>
      </w:pPr>
      <w:r>
        <w:rPr>
          <w:rFonts w:eastAsia="Times New Roman" w:cs="Times New Roman" w:ascii="Cambria" w:hAnsi="Cambria"/>
          <w:color w:val="000000"/>
          <w:sz w:val="24"/>
          <w:szCs w:val="24"/>
          <w:lang w:eastAsia="pt-BR"/>
        </w:rPr>
        <w:t>Ademais, restando configurada a propaganda eleitoral antecipada, evidente que o caso dos autos demanda adequada</w:t>
      </w:r>
      <w:r>
        <w:rPr>
          <w:rFonts w:eastAsia="Times New Roman" w:cs="Times New Roman" w:ascii="Cambria" w:hAnsi="Cambria"/>
          <w:b/>
          <w:bCs/>
          <w:color w:val="000000"/>
          <w:sz w:val="24"/>
          <w:szCs w:val="24"/>
          <w:lang w:eastAsia="pt-BR"/>
        </w:rPr>
        <w:t xml:space="preserve"> medida sancionatória por parte desse Juízo Eleitoral, no exercício do poder de polícia, </w:t>
      </w:r>
      <w:r>
        <w:rPr>
          <w:rFonts w:eastAsia="Times New Roman" w:cs="Times New Roman" w:ascii="Cambria" w:hAnsi="Cambria"/>
          <w:color w:val="000000"/>
          <w:sz w:val="24"/>
          <w:szCs w:val="24"/>
          <w:lang w:eastAsia="pt-BR"/>
        </w:rPr>
        <w:t xml:space="preserve">mediante determinação da </w:t>
      </w:r>
      <w:r>
        <w:rPr>
          <w:rFonts w:eastAsia="Times New Roman" w:cs="Times New Roman" w:ascii="Cambria" w:hAnsi="Cambria"/>
          <w:b/>
          <w:bCs/>
          <w:color w:val="000000"/>
          <w:sz w:val="24"/>
          <w:szCs w:val="24"/>
          <w:lang w:eastAsia="pt-BR"/>
        </w:rPr>
        <w:t xml:space="preserve">imediata remoção </w:t>
      </w:r>
      <w:r>
        <w:rPr>
          <w:rFonts w:eastAsia="Times New Roman" w:cs="Times New Roman" w:ascii="Cambria" w:hAnsi="Cambria"/>
          <w:color w:val="000000"/>
          <w:sz w:val="24"/>
          <w:szCs w:val="24"/>
          <w:lang w:eastAsia="pt-BR"/>
        </w:rPr>
        <w:t>da propaganda, conforme autorizado pelo art. 41, §§ 1º e 2º da Lei nº 9.504.97 e pelo art. 6º, §§ 1º e 2º, da Resolução TSE nº 23.610/2019, a fim de fazer cessar a veiculação da referida propaganda irregular, no objetivo de preservar o equilíbrio entre os candidatos no que pertine à sua comunicação com o eleitor.</w:t>
      </w:r>
    </w:p>
    <w:p>
      <w:pPr>
        <w:pStyle w:val="Normal"/>
        <w:spacing w:lineRule="auto" w:line="36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1"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Comprovada a prática da propaganda irregular por parte da Representada e o prévio conhecimento desta acerca da sua existência, já que ela própria publicou na página de terceiro – tornando desnecessária a notificação prévia, nos termos do art. 40-B, p. único, da Lei nº 9.504/97, do art. 26, § 2º da Res. TSE nº 23.610/2019 e do art. 17, I da Res. TSE nº 23.608/2019 –, a procedência desta representação é medida que se ajusta aos fatos e circunstâncias do caso concreto.</w:t>
      </w:r>
    </w:p>
    <w:p>
      <w:pPr>
        <w:pStyle w:val="Normal"/>
        <w:spacing w:lineRule="auto" w:line="360" w:before="0" w:after="0"/>
        <w:rPr>
          <w:rFonts w:ascii="Cambria" w:hAnsi="Cambria" w:eastAsia="Times New Roman" w:cs="Times New Roman"/>
          <w:sz w:val="24"/>
          <w:szCs w:val="24"/>
          <w:lang w:eastAsia="pt-BR"/>
        </w:rPr>
      </w:pPr>
      <w:r>
        <w:rPr>
          <w:rFonts w:eastAsia="Times New Roman" w:cs="Times New Roman" w:ascii="Cambria" w:hAnsi="Cambria"/>
          <w:sz w:val="24"/>
          <w:szCs w:val="24"/>
          <w:lang w:eastAsia="pt-BR"/>
        </w:rPr>
      </w:r>
    </w:p>
    <w:p>
      <w:pPr>
        <w:pStyle w:val="Normal"/>
        <w:spacing w:lineRule="auto" w:line="360" w:before="0" w:after="0"/>
        <w:ind w:left="0" w:right="0" w:firstLine="1701"/>
        <w:jc w:val="both"/>
        <w:rPr>
          <w:rFonts w:ascii="Cambria" w:hAnsi="Cambria"/>
          <w:sz w:val="24"/>
          <w:szCs w:val="24"/>
        </w:rPr>
      </w:pPr>
      <w:r>
        <w:rPr>
          <w:rFonts w:eastAsia="Times New Roman" w:cs="Times New Roman" w:ascii="Cambria" w:hAnsi="Cambria"/>
          <w:b/>
          <w:bCs/>
          <w:color w:val="000000"/>
          <w:sz w:val="24"/>
          <w:szCs w:val="24"/>
          <w:lang w:eastAsia="pt-BR"/>
        </w:rPr>
        <w:t xml:space="preserve">Ante o exposto, o Ministério Público Eleitoral manifesta-se pela </w:t>
      </w:r>
      <w:r>
        <w:rPr>
          <w:rFonts w:eastAsia="Times New Roman" w:cs="Times New Roman" w:ascii="Cambria" w:hAnsi="Cambria"/>
          <w:b/>
          <w:bCs/>
          <w:color w:val="000000"/>
          <w:sz w:val="24"/>
          <w:szCs w:val="24"/>
          <w:u w:val="single"/>
          <w:lang w:eastAsia="pt-BR"/>
        </w:rPr>
        <w:t>procedência</w:t>
      </w:r>
      <w:r>
        <w:rPr>
          <w:rFonts w:eastAsia="Times New Roman" w:cs="Times New Roman" w:ascii="Cambria" w:hAnsi="Cambria"/>
          <w:b/>
          <w:bCs/>
          <w:color w:val="000000"/>
          <w:sz w:val="24"/>
          <w:szCs w:val="24"/>
          <w:lang w:eastAsia="pt-BR"/>
        </w:rPr>
        <w:t xml:space="preserve"> da representação formulada em face da representada XXXX, a fim de que esta seja condenada ao pagamento da multa prevista no art. 36, § 3º, da Lei n. 9.504/97, bem como seja determinada a retirada da propaganda eleitoral extemporânea, sob pena de incorrer na prática do delito tipificado no artigo 347 do Código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7</Pages>
  <Words>2249</Words>
  <Characters>12196</Characters>
  <CharactersWithSpaces>14397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2023-06-08T04:15:46Z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