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widowControl w:val="false"/>
        <w:spacing w:lineRule="auto" w:line="360"/>
        <w:rPr>
          <w:sz w:val="24"/>
          <w:szCs w:val="24"/>
        </w:rPr>
      </w:pPr>
      <w:r>
        <w:rPr>
          <w:rFonts w:eastAsia="Cambria" w:cs="Cambria" w:ascii="Cambria" w:hAnsi="Cambria"/>
          <w:b/>
          <w:position w:val="0"/>
          <w:sz w:val="24"/>
          <w:sz w:val="24"/>
          <w:szCs w:val="24"/>
          <w:vertAlign w:val="baseline"/>
        </w:rPr>
        <w:t>Prestação de Contas Anual</w:t>
      </w:r>
    </w:p>
    <w:p>
      <w:pPr>
        <w:pStyle w:val="Normal1"/>
        <w:widowControl w:val="false"/>
        <w:numPr>
          <w:ilvl w:val="0"/>
          <w:numId w:val="2"/>
        </w:numPr>
        <w:spacing w:lineRule="auto" w:line="360"/>
        <w:ind w:left="0" w:hanging="0"/>
        <w:rPr>
          <w:sz w:val="24"/>
          <w:szCs w:val="24"/>
        </w:rPr>
      </w:pPr>
      <w:r>
        <w:rPr>
          <w:rFonts w:eastAsia="Cambria" w:cs="Cambria" w:ascii="Cambria" w:hAnsi="Cambria"/>
          <w:b/>
          <w:position w:val="0"/>
          <w:sz w:val="24"/>
          <w:sz w:val="24"/>
          <w:szCs w:val="24"/>
          <w:vertAlign w:val="baseline"/>
        </w:rPr>
        <w:t xml:space="preserve">Autos n. </w:t>
      </w:r>
      <w:r>
        <w:rPr>
          <w:rFonts w:eastAsia="Cambria" w:cs="Cambria" w:ascii="Cambria" w:hAnsi="Cambria"/>
          <w:b/>
          <w:position w:val="0"/>
          <w:sz w:val="24"/>
          <w:sz w:val="24"/>
          <w:szCs w:val="24"/>
          <w:highlight w:val="yellow"/>
          <w:vertAlign w:val="baseline"/>
        </w:rPr>
        <w:t>XXXX</w:t>
      </w:r>
    </w:p>
    <w:p>
      <w:pPr>
        <w:pStyle w:val="Normal1"/>
        <w:spacing w:lineRule="auto" w:line="360"/>
        <w:rPr>
          <w:sz w:val="24"/>
          <w:szCs w:val="24"/>
        </w:rPr>
      </w:pPr>
      <w:r>
        <w:rPr>
          <w:rFonts w:eastAsia="Cambria" w:cs="Cambria" w:ascii="Cambria" w:hAnsi="Cambria"/>
          <w:b/>
          <w:position w:val="0"/>
          <w:sz w:val="24"/>
          <w:sz w:val="24"/>
          <w:szCs w:val="24"/>
          <w:vertAlign w:val="baseline"/>
        </w:rPr>
        <w:t>Partido:</w:t>
      </w:r>
      <w:r>
        <w:rPr>
          <w:rFonts w:eastAsia="Cambria" w:cs="Cambria" w:ascii="Cambria" w:hAnsi="Cambria"/>
          <w:position w:val="0"/>
          <w:sz w:val="24"/>
          <w:sz w:val="24"/>
          <w:szCs w:val="24"/>
          <w:vertAlign w:val="baseline"/>
        </w:rPr>
        <w:t xml:space="preserve"> </w:t>
      </w:r>
      <w:r>
        <w:rPr>
          <w:rFonts w:eastAsia="Cambria" w:cs="Cambria" w:ascii="Cambria" w:hAnsi="Cambria"/>
          <w:b/>
          <w:position w:val="0"/>
          <w:sz w:val="24"/>
          <w:sz w:val="24"/>
          <w:szCs w:val="24"/>
          <w:highlight w:val="yellow"/>
          <w:vertAlign w:val="baseline"/>
        </w:rPr>
        <w:t>XXXX</w:t>
      </w:r>
    </w:p>
    <w:p>
      <w:pPr>
        <w:pStyle w:val="Normal1"/>
        <w:spacing w:lineRule="auto" w:line="360"/>
        <w:rPr>
          <w:sz w:val="24"/>
          <w:szCs w:val="24"/>
        </w:rPr>
      </w:pPr>
      <w:r>
        <w:rPr>
          <w:rFonts w:eastAsia="Cambria" w:cs="Cambria" w:ascii="Cambria" w:hAnsi="Cambria"/>
          <w:color w:val="FF0000"/>
          <w:sz w:val="24"/>
          <w:szCs w:val="24"/>
        </w:rPr>
        <w:t>Modelo MPMS adaptado</w:t>
      </w:r>
    </w:p>
    <w:p>
      <w:pPr>
        <w:pStyle w:val="Normal1"/>
        <w:spacing w:lineRule="auto" w:line="360"/>
        <w:rPr>
          <w:rFonts w:ascii="Cambria" w:hAnsi="Cambria" w:eastAsia="Cambria" w:cs="Cambria"/>
          <w:position w:val="0"/>
          <w:sz w:val="24"/>
          <w:sz w:val="24"/>
          <w:szCs w:val="24"/>
          <w:vertAlign w:val="baseline"/>
        </w:rPr>
      </w:pPr>
      <w:r>
        <w:rPr>
          <w:rFonts w:eastAsia="Cambria" w:cs="Cambria" w:ascii="Cambria" w:hAnsi="Cambria"/>
          <w:position w:val="0"/>
          <w:sz w:val="24"/>
          <w:sz w:val="24"/>
          <w:szCs w:val="24"/>
          <w:vertAlign w:val="baseline"/>
        </w:rPr>
      </w:r>
    </w:p>
    <w:p>
      <w:pPr>
        <w:pStyle w:val="Normal1"/>
        <w:spacing w:lineRule="auto" w:line="360"/>
        <w:ind w:firstLine="1701"/>
        <w:rPr>
          <w:sz w:val="24"/>
          <w:szCs w:val="24"/>
        </w:rPr>
      </w:pPr>
      <w:r>
        <w:rPr>
          <w:rFonts w:eastAsia="Cambria" w:cs="Cambria" w:ascii="Cambria" w:hAnsi="Cambria"/>
          <w:b/>
          <w:position w:val="0"/>
          <w:sz w:val="24"/>
          <w:sz w:val="24"/>
          <w:szCs w:val="24"/>
          <w:vertAlign w:val="baseline"/>
        </w:rPr>
        <w:t xml:space="preserve">MM. </w:t>
      </w:r>
      <w:r>
        <w:rPr>
          <w:rFonts w:eastAsia="Cambria" w:cs="Cambria" w:ascii="Cambria" w:hAnsi="Cambria"/>
          <w:b/>
          <w:sz w:val="24"/>
          <w:szCs w:val="24"/>
        </w:rPr>
        <w:t>J</w:t>
      </w:r>
      <w:r>
        <w:rPr>
          <w:rFonts w:eastAsia="Cambria" w:cs="Cambria" w:ascii="Cambria" w:hAnsi="Cambria"/>
          <w:b/>
          <w:position w:val="0"/>
          <w:sz w:val="24"/>
          <w:sz w:val="24"/>
          <w:szCs w:val="24"/>
          <w:vertAlign w:val="baseline"/>
        </w:rPr>
        <w:t>uiz(a),</w:t>
      </w:r>
    </w:p>
    <w:p>
      <w:pPr>
        <w:pStyle w:val="Normal1"/>
        <w:spacing w:lineRule="auto" w:line="360"/>
        <w:ind w:firstLine="1701"/>
        <w:rPr>
          <w:rFonts w:ascii="Cambria" w:hAnsi="Cambria" w:eastAsia="Cambria" w:cs="Cambria"/>
          <w:b/>
          <w:b/>
          <w:sz w:val="24"/>
          <w:szCs w:val="24"/>
        </w:rPr>
      </w:pPr>
      <w:r>
        <w:rPr>
          <w:rFonts w:eastAsia="Cambria" w:cs="Cambria" w:ascii="Cambria" w:hAnsi="Cambria"/>
          <w:b/>
          <w:sz w:val="24"/>
          <w:szCs w:val="24"/>
        </w:rPr>
      </w:r>
    </w:p>
    <w:p>
      <w:pPr>
        <w:pStyle w:val="Normal1"/>
        <w:spacing w:lineRule="auto" w:line="360"/>
        <w:rPr>
          <w:rFonts w:ascii="Cambria" w:hAnsi="Cambria" w:eastAsia="Cambria" w:cs="Cambria"/>
          <w:position w:val="0"/>
          <w:sz w:val="24"/>
          <w:sz w:val="24"/>
          <w:szCs w:val="24"/>
          <w:vertAlign w:val="baseline"/>
        </w:rPr>
      </w:pPr>
      <w:r>
        <w:rPr>
          <w:rFonts w:eastAsia="Cambria" w:cs="Cambria" w:ascii="Cambria" w:hAnsi="Cambria"/>
          <w:position w:val="0"/>
          <w:sz w:val="24"/>
          <w:sz w:val="24"/>
          <w:szCs w:val="24"/>
          <w:vertAlign w:val="baseline"/>
        </w:rPr>
      </w:r>
    </w:p>
    <w:p>
      <w:pPr>
        <w:pStyle w:val="Normal1"/>
        <w:spacing w:lineRule="auto" w:line="360"/>
        <w:ind w:firstLine="1701"/>
        <w:jc w:val="both"/>
        <w:rPr>
          <w:sz w:val="24"/>
          <w:szCs w:val="24"/>
        </w:rPr>
      </w:pPr>
      <w:r>
        <w:rPr>
          <w:rFonts w:eastAsia="Cambria" w:cs="Cambria" w:ascii="Cambria" w:hAnsi="Cambria"/>
          <w:position w:val="0"/>
          <w:sz w:val="24"/>
          <w:sz w:val="24"/>
          <w:szCs w:val="24"/>
          <w:vertAlign w:val="baseline"/>
        </w:rPr>
        <w:t xml:space="preserve">Tratam os autos da </w:t>
      </w:r>
      <w:r>
        <w:rPr>
          <w:rFonts w:eastAsia="Cambria" w:cs="Cambria" w:ascii="Cambria" w:hAnsi="Cambria"/>
          <w:b/>
          <w:position w:val="0"/>
          <w:sz w:val="24"/>
          <w:sz w:val="24"/>
          <w:szCs w:val="24"/>
          <w:vertAlign w:val="baseline"/>
        </w:rPr>
        <w:t>ausência de prestação de contas</w:t>
      </w:r>
      <w:r>
        <w:rPr>
          <w:rFonts w:eastAsia="Cambria" w:cs="Cambria" w:ascii="Cambria" w:hAnsi="Cambria"/>
          <w:position w:val="0"/>
          <w:sz w:val="24"/>
          <w:sz w:val="24"/>
          <w:szCs w:val="24"/>
          <w:vertAlign w:val="baseline"/>
        </w:rPr>
        <w:t xml:space="preserve"> pelo Partido </w:t>
      </w:r>
      <w:r>
        <w:rPr>
          <w:rFonts w:eastAsia="Cambria" w:cs="Cambria" w:ascii="Cambria" w:hAnsi="Cambria"/>
          <w:position w:val="0"/>
          <w:sz w:val="24"/>
          <w:sz w:val="24"/>
          <w:szCs w:val="24"/>
          <w:highlight w:val="yellow"/>
          <w:vertAlign w:val="baseline"/>
        </w:rPr>
        <w:t>XXXX</w:t>
      </w:r>
      <w:r>
        <w:rPr>
          <w:rFonts w:eastAsia="Cambria" w:cs="Cambria" w:ascii="Cambria" w:hAnsi="Cambria"/>
          <w:position w:val="0"/>
          <w:sz w:val="24"/>
          <w:sz w:val="24"/>
          <w:szCs w:val="24"/>
          <w:vertAlign w:val="baseline"/>
        </w:rPr>
        <w:t xml:space="preserve">, referente à movimentação financeira do ano de </w:t>
      </w:r>
      <w:r>
        <w:rPr>
          <w:rFonts w:eastAsia="Cambria" w:cs="Cambria" w:ascii="Cambria" w:hAnsi="Cambria"/>
          <w:position w:val="0"/>
          <w:sz w:val="24"/>
          <w:sz w:val="24"/>
          <w:szCs w:val="24"/>
          <w:highlight w:val="yellow"/>
          <w:vertAlign w:val="baseline"/>
        </w:rPr>
        <w:t>XXXX</w:t>
      </w:r>
      <w:r>
        <w:rPr>
          <w:rFonts w:eastAsia="Cambria" w:cs="Cambria" w:ascii="Cambria" w:hAnsi="Cambria"/>
          <w:position w:val="0"/>
          <w:sz w:val="24"/>
          <w:sz w:val="24"/>
          <w:szCs w:val="24"/>
          <w:vertAlign w:val="baseline"/>
        </w:rPr>
        <w:t>, nos termos e forma do art. 30, da Resolução TSE n. 23.604/2019.</w:t>
      </w:r>
    </w:p>
    <w:p>
      <w:pPr>
        <w:pStyle w:val="Normal1"/>
        <w:spacing w:lineRule="auto" w:line="360"/>
        <w:ind w:firstLine="1701"/>
        <w:jc w:val="both"/>
        <w:rPr>
          <w:rFonts w:ascii="Cambria" w:hAnsi="Cambria" w:eastAsia="Cambria" w:cs="Cambria"/>
          <w:position w:val="0"/>
          <w:sz w:val="24"/>
          <w:sz w:val="24"/>
          <w:szCs w:val="24"/>
          <w:vertAlign w:val="baseline"/>
        </w:rPr>
      </w:pPr>
      <w:r>
        <w:rPr>
          <w:rFonts w:eastAsia="Cambria" w:cs="Cambria" w:ascii="Cambria" w:hAnsi="Cambria"/>
          <w:position w:val="0"/>
          <w:sz w:val="24"/>
          <w:sz w:val="24"/>
          <w:szCs w:val="24"/>
          <w:vertAlign w:val="baseline"/>
        </w:rPr>
      </w:r>
    </w:p>
    <w:p>
      <w:pPr>
        <w:pStyle w:val="Normal1"/>
        <w:spacing w:lineRule="auto" w:line="360"/>
        <w:ind w:firstLine="1701"/>
        <w:jc w:val="both"/>
        <w:rPr>
          <w:sz w:val="24"/>
          <w:szCs w:val="24"/>
        </w:rPr>
      </w:pPr>
      <w:r>
        <w:rPr>
          <w:rFonts w:eastAsia="Cambria" w:cs="Cambria" w:ascii="Cambria" w:hAnsi="Cambria"/>
          <w:position w:val="0"/>
          <w:sz w:val="24"/>
          <w:sz w:val="24"/>
          <w:szCs w:val="24"/>
          <w:vertAlign w:val="baseline"/>
        </w:rPr>
        <w:t>Devidamente intimado, o Partido permaneceu inerte.</w:t>
      </w:r>
    </w:p>
    <w:p>
      <w:pPr>
        <w:pStyle w:val="Normal1"/>
        <w:spacing w:lineRule="auto" w:line="360"/>
        <w:ind w:firstLine="1701"/>
        <w:jc w:val="both"/>
        <w:rPr>
          <w:rFonts w:ascii="Cambria" w:hAnsi="Cambria" w:eastAsia="Cambria" w:cs="Cambria"/>
          <w:position w:val="0"/>
          <w:sz w:val="24"/>
          <w:sz w:val="24"/>
          <w:szCs w:val="24"/>
          <w:vertAlign w:val="baseline"/>
        </w:rPr>
      </w:pPr>
      <w:r>
        <w:rPr>
          <w:rFonts w:eastAsia="Cambria" w:cs="Cambria" w:ascii="Cambria" w:hAnsi="Cambria"/>
          <w:position w:val="0"/>
          <w:sz w:val="24"/>
          <w:sz w:val="24"/>
          <w:szCs w:val="24"/>
          <w:vertAlign w:val="baseline"/>
        </w:rPr>
      </w:r>
    </w:p>
    <w:p>
      <w:pPr>
        <w:pStyle w:val="Normal1"/>
        <w:spacing w:lineRule="auto" w:line="360"/>
        <w:ind w:firstLine="1701"/>
        <w:jc w:val="both"/>
        <w:rPr>
          <w:sz w:val="24"/>
          <w:szCs w:val="24"/>
        </w:rPr>
      </w:pPr>
      <w:r>
        <w:rPr>
          <w:rFonts w:eastAsia="Cambria" w:cs="Cambria" w:ascii="Cambria" w:hAnsi="Cambria"/>
          <w:position w:val="0"/>
          <w:sz w:val="24"/>
          <w:sz w:val="24"/>
          <w:szCs w:val="24"/>
          <w:vertAlign w:val="baseline"/>
        </w:rPr>
        <w:t xml:space="preserve">Com vista dos autos, o </w:t>
      </w:r>
      <w:r>
        <w:rPr>
          <w:rFonts w:eastAsia="Cambria" w:cs="Cambria" w:ascii="Cambria" w:hAnsi="Cambria"/>
          <w:b/>
          <w:sz w:val="24"/>
          <w:szCs w:val="24"/>
        </w:rPr>
        <w:t>Ministério Público Eleitoral</w:t>
      </w:r>
      <w:r>
        <w:rPr>
          <w:rFonts w:eastAsia="Cambria" w:cs="Cambria" w:ascii="Cambria" w:hAnsi="Cambria"/>
          <w:position w:val="0"/>
          <w:sz w:val="24"/>
          <w:sz w:val="24"/>
          <w:szCs w:val="24"/>
          <w:vertAlign w:val="baseline"/>
        </w:rPr>
        <w:t xml:space="preserve"> passa a </w:t>
      </w:r>
      <w:r>
        <w:rPr>
          <w:rFonts w:eastAsia="Cambria" w:cs="Cambria" w:ascii="Cambria" w:hAnsi="Cambria"/>
          <w:b/>
          <w:position w:val="0"/>
          <w:sz w:val="24"/>
          <w:sz w:val="24"/>
          <w:szCs w:val="24"/>
          <w:vertAlign w:val="baseline"/>
        </w:rPr>
        <w:t>oferecer o seu parecer</w:t>
      </w:r>
      <w:r>
        <w:rPr>
          <w:rFonts w:eastAsia="Cambria" w:cs="Cambria" w:ascii="Cambria" w:hAnsi="Cambria"/>
          <w:position w:val="0"/>
          <w:sz w:val="24"/>
          <w:sz w:val="24"/>
          <w:szCs w:val="24"/>
          <w:vertAlign w:val="baseline"/>
        </w:rPr>
        <w:t>.</w:t>
      </w:r>
    </w:p>
    <w:p>
      <w:pPr>
        <w:pStyle w:val="Normal1"/>
        <w:spacing w:lineRule="auto" w:line="360"/>
        <w:ind w:firstLine="1701"/>
        <w:jc w:val="both"/>
        <w:rPr>
          <w:rFonts w:ascii="Cambria" w:hAnsi="Cambria" w:eastAsia="Cambria" w:cs="Cambria"/>
          <w:position w:val="0"/>
          <w:sz w:val="24"/>
          <w:sz w:val="24"/>
          <w:szCs w:val="24"/>
          <w:vertAlign w:val="baseline"/>
        </w:rPr>
      </w:pPr>
      <w:r>
        <w:rPr>
          <w:rFonts w:eastAsia="Cambria" w:cs="Cambria" w:ascii="Cambria" w:hAnsi="Cambria"/>
          <w:position w:val="0"/>
          <w:sz w:val="24"/>
          <w:sz w:val="24"/>
          <w:szCs w:val="24"/>
          <w:vertAlign w:val="baseline"/>
        </w:rPr>
      </w:r>
    </w:p>
    <w:p>
      <w:pPr>
        <w:pStyle w:val="Normal1"/>
        <w:spacing w:lineRule="auto" w:line="360"/>
        <w:ind w:firstLine="1701"/>
        <w:jc w:val="both"/>
        <w:rPr>
          <w:sz w:val="24"/>
          <w:szCs w:val="24"/>
        </w:rPr>
      </w:pPr>
      <w:r>
        <w:rPr>
          <w:rFonts w:eastAsia="Cambria" w:cs="Cambria" w:ascii="Cambria" w:hAnsi="Cambria"/>
          <w:position w:val="0"/>
          <w:sz w:val="24"/>
          <w:sz w:val="24"/>
          <w:szCs w:val="24"/>
          <w:vertAlign w:val="baseline"/>
        </w:rPr>
        <w:t>Compulsando o</w:t>
      </w:r>
      <w:r>
        <w:rPr>
          <w:rFonts w:eastAsia="Cambria" w:cs="Cambria" w:ascii="Cambria" w:hAnsi="Cambria"/>
          <w:sz w:val="24"/>
          <w:szCs w:val="24"/>
        </w:rPr>
        <w:t xml:space="preserve"> feito</w:t>
      </w:r>
      <w:r>
        <w:rPr>
          <w:rFonts w:eastAsia="Cambria" w:cs="Cambria" w:ascii="Cambria" w:hAnsi="Cambria"/>
          <w:position w:val="0"/>
          <w:sz w:val="24"/>
          <w:sz w:val="24"/>
          <w:szCs w:val="24"/>
          <w:vertAlign w:val="baseline"/>
        </w:rPr>
        <w:t>, verifica-se que o Partido não apresentou a prestação de contas conforme exige a legislação eleitoral em vigor.</w:t>
      </w:r>
    </w:p>
    <w:p>
      <w:pPr>
        <w:pStyle w:val="Normal1"/>
        <w:spacing w:lineRule="auto" w:line="360"/>
        <w:ind w:firstLine="1701"/>
        <w:jc w:val="both"/>
        <w:rPr>
          <w:rFonts w:ascii="Cambria" w:hAnsi="Cambria" w:eastAsia="Cambria" w:cs="Cambria"/>
          <w:position w:val="0"/>
          <w:sz w:val="24"/>
          <w:sz w:val="24"/>
          <w:szCs w:val="24"/>
          <w:vertAlign w:val="baseline"/>
        </w:rPr>
      </w:pPr>
      <w:r>
        <w:rPr>
          <w:rFonts w:eastAsia="Cambria" w:cs="Cambria" w:ascii="Cambria" w:hAnsi="Cambria"/>
          <w:position w:val="0"/>
          <w:sz w:val="24"/>
          <w:sz w:val="24"/>
          <w:szCs w:val="24"/>
          <w:vertAlign w:val="baseline"/>
        </w:rPr>
      </w:r>
    </w:p>
    <w:p>
      <w:pPr>
        <w:pStyle w:val="Normal1"/>
        <w:spacing w:lineRule="auto" w:line="360"/>
        <w:ind w:firstLine="1701"/>
        <w:jc w:val="both"/>
        <w:rPr>
          <w:sz w:val="24"/>
          <w:szCs w:val="24"/>
        </w:rPr>
      </w:pPr>
      <w:bookmarkStart w:id="0" w:name="_heading=h.gjdgxs"/>
      <w:bookmarkEnd w:id="0"/>
      <w:r>
        <w:rPr>
          <w:rFonts w:eastAsia="Cambria" w:cs="Cambria" w:ascii="Cambria" w:hAnsi="Cambria"/>
          <w:position w:val="0"/>
          <w:sz w:val="24"/>
          <w:sz w:val="24"/>
          <w:szCs w:val="24"/>
          <w:vertAlign w:val="baseline"/>
        </w:rPr>
        <w:t>Além disso, mesmo intimado, permaneceu omisso em seus deveres legais</w:t>
      </w:r>
      <w:r>
        <w:rPr>
          <w:rFonts w:eastAsia="Cambria" w:cs="Cambria" w:ascii="Cambria" w:hAnsi="Cambria"/>
          <w:sz w:val="24"/>
          <w:szCs w:val="24"/>
        </w:rPr>
        <w:t>.</w:t>
      </w:r>
    </w:p>
    <w:p>
      <w:pPr>
        <w:pStyle w:val="Normal1"/>
        <w:spacing w:lineRule="auto" w:line="360"/>
        <w:ind w:firstLine="1701"/>
        <w:jc w:val="both"/>
        <w:rPr>
          <w:rFonts w:ascii="Cambria" w:hAnsi="Cambria" w:eastAsia="Cambria" w:cs="Cambria"/>
          <w:sz w:val="24"/>
          <w:szCs w:val="24"/>
        </w:rPr>
      </w:pPr>
      <w:r>
        <w:rPr>
          <w:rFonts w:eastAsia="Cambria" w:cs="Cambria" w:ascii="Cambria" w:hAnsi="Cambria"/>
          <w:sz w:val="24"/>
          <w:szCs w:val="24"/>
        </w:rPr>
      </w:r>
      <w:bookmarkStart w:id="1" w:name="_heading=h.wogvuhyaz6uu"/>
      <w:bookmarkStart w:id="2" w:name="_heading=h.wogvuhyaz6uu"/>
      <w:bookmarkEnd w:id="2"/>
    </w:p>
    <w:p>
      <w:pPr>
        <w:pStyle w:val="Normal1"/>
        <w:spacing w:lineRule="auto" w:line="360"/>
        <w:ind w:firstLine="1701"/>
        <w:jc w:val="both"/>
        <w:rPr>
          <w:sz w:val="24"/>
          <w:szCs w:val="24"/>
        </w:rPr>
      </w:pPr>
      <w:bookmarkStart w:id="3" w:name="_heading=h.qjumbp5brx29"/>
      <w:bookmarkEnd w:id="3"/>
      <w:r>
        <w:rPr>
          <w:rFonts w:eastAsia="Cambria" w:cs="Cambria" w:ascii="Cambria" w:hAnsi="Cambria"/>
          <w:sz w:val="24"/>
          <w:szCs w:val="24"/>
        </w:rPr>
        <w:t xml:space="preserve">Assim sendo, devem ser as contas </w:t>
      </w:r>
      <w:r>
        <w:rPr>
          <w:rFonts w:eastAsia="Cambria" w:cs="Cambria" w:ascii="Cambria" w:hAnsi="Cambria"/>
          <w:position w:val="0"/>
          <w:sz w:val="24"/>
          <w:sz w:val="24"/>
          <w:szCs w:val="24"/>
          <w:vertAlign w:val="baseline"/>
        </w:rPr>
        <w:t>julgadas não prestadas, com as consequências lega</w:t>
      </w:r>
      <w:r>
        <w:rPr>
          <w:rFonts w:eastAsia="Cambria" w:cs="Cambria" w:ascii="Cambria" w:hAnsi="Cambria"/>
          <w:sz w:val="24"/>
          <w:szCs w:val="24"/>
        </w:rPr>
        <w:t>lmente estabelecidas</w:t>
      </w:r>
      <w:r>
        <w:rPr>
          <w:rFonts w:eastAsia="Cambria" w:cs="Cambria" w:ascii="Cambria" w:hAnsi="Cambria"/>
          <w:position w:val="0"/>
          <w:sz w:val="24"/>
          <w:sz w:val="24"/>
          <w:szCs w:val="24"/>
          <w:vertAlign w:val="baseline"/>
        </w:rPr>
        <w:t>, notadamente, as sanções previstas no art. 47, I e parágrafo único, da Resolução TSE n. 23.604/2019</w:t>
      </w:r>
      <w:r>
        <w:rPr>
          <w:rFonts w:eastAsia="Cambria" w:cs="Cambria" w:ascii="Cambria" w:hAnsi="Cambria"/>
          <w:sz w:val="24"/>
          <w:szCs w:val="24"/>
        </w:rPr>
        <w:t>.</w:t>
      </w:r>
    </w:p>
    <w:p>
      <w:pPr>
        <w:pStyle w:val="Normal1"/>
        <w:spacing w:lineRule="auto" w:line="360"/>
        <w:ind w:firstLine="1701"/>
        <w:jc w:val="both"/>
        <w:rPr>
          <w:rFonts w:ascii="Cambria" w:hAnsi="Cambria" w:eastAsia="Cambria" w:cs="Cambria"/>
          <w:sz w:val="24"/>
          <w:szCs w:val="24"/>
        </w:rPr>
      </w:pPr>
      <w:r>
        <w:rPr>
          <w:rFonts w:eastAsia="Cambria" w:cs="Cambria" w:ascii="Cambria" w:hAnsi="Cambria"/>
          <w:sz w:val="24"/>
          <w:szCs w:val="24"/>
        </w:rPr>
      </w:r>
      <w:bookmarkStart w:id="4" w:name="_heading=h.idcn7tkqfdzs"/>
      <w:bookmarkStart w:id="5" w:name="_heading=h.idcn7tkqfdzs"/>
      <w:bookmarkEnd w:id="5"/>
    </w:p>
    <w:p>
      <w:pPr>
        <w:pStyle w:val="Normal1"/>
        <w:spacing w:lineRule="auto" w:line="360"/>
        <w:ind w:firstLine="1701"/>
        <w:jc w:val="both"/>
        <w:rPr>
          <w:sz w:val="24"/>
          <w:szCs w:val="24"/>
        </w:rPr>
      </w:pPr>
      <w:bookmarkStart w:id="6" w:name="_heading=h.obxua0wcvfmt"/>
      <w:bookmarkEnd w:id="6"/>
      <w:r>
        <w:rPr>
          <w:rFonts w:eastAsia="Cambria" w:cs="Cambria" w:ascii="Cambria" w:hAnsi="Cambria"/>
          <w:sz w:val="24"/>
          <w:szCs w:val="24"/>
        </w:rPr>
        <w:t xml:space="preserve">Necessária, em seguida, nova </w:t>
      </w:r>
      <w:r>
        <w:rPr>
          <w:rFonts w:eastAsia="Cambria" w:cs="Cambria" w:ascii="Cambria" w:hAnsi="Cambria"/>
          <w:position w:val="0"/>
          <w:sz w:val="24"/>
          <w:sz w:val="24"/>
          <w:szCs w:val="24"/>
          <w:vertAlign w:val="baseline"/>
        </w:rPr>
        <w:t xml:space="preserve">vista dos autos, após o trânsito em julgado, para fins do art. 47, II, da mesma Resolução, em observância </w:t>
      </w:r>
      <w:r>
        <w:rPr>
          <w:rFonts w:eastAsia="Cambria" w:cs="Cambria" w:ascii="Cambria" w:hAnsi="Cambria"/>
          <w:sz w:val="24"/>
          <w:szCs w:val="24"/>
        </w:rPr>
        <w:t>à</w:t>
      </w:r>
      <w:r>
        <w:rPr>
          <w:rFonts w:eastAsia="Cambria" w:cs="Cambria" w:ascii="Cambria" w:hAnsi="Cambria"/>
          <w:position w:val="0"/>
          <w:sz w:val="24"/>
          <w:sz w:val="24"/>
          <w:szCs w:val="24"/>
          <w:vertAlign w:val="baseline"/>
        </w:rPr>
        <w:t xml:space="preserve"> decisão do STF na ADI nº 6.032, julgada em 5.12.2019</w:t>
      </w:r>
      <w:r>
        <w:rPr>
          <w:rStyle w:val="Ncoradanotaderodap"/>
          <w:rFonts w:eastAsia="Cambria" w:cs="Cambria" w:ascii="Cambria" w:hAnsi="Cambria"/>
          <w:sz w:val="24"/>
          <w:szCs w:val="24"/>
          <w:vertAlign w:val="superscript"/>
        </w:rPr>
        <w:footnoteReference w:id="2"/>
      </w:r>
      <w:r>
        <w:rPr>
          <w:rFonts w:eastAsia="Cambria" w:cs="Cambria" w:ascii="Cambria" w:hAnsi="Cambria"/>
          <w:position w:val="0"/>
          <w:sz w:val="24"/>
          <w:sz w:val="24"/>
          <w:szCs w:val="24"/>
          <w:vertAlign w:val="baseline"/>
        </w:rPr>
        <w:t>.</w:t>
      </w:r>
    </w:p>
    <w:p>
      <w:pPr>
        <w:pStyle w:val="Normal1"/>
        <w:spacing w:lineRule="auto" w:line="360"/>
        <w:ind w:firstLine="1701"/>
        <w:jc w:val="both"/>
        <w:rPr>
          <w:rFonts w:ascii="Cambria" w:hAnsi="Cambria" w:eastAsia="Cambria" w:cs="Cambria"/>
          <w:position w:val="0"/>
          <w:sz w:val="24"/>
          <w:sz w:val="24"/>
          <w:szCs w:val="24"/>
          <w:vertAlign w:val="baseline"/>
        </w:rPr>
      </w:pPr>
      <w:r>
        <w:rPr>
          <w:rFonts w:eastAsia="Cambria" w:cs="Cambria" w:ascii="Cambria" w:hAnsi="Cambria"/>
          <w:position w:val="0"/>
          <w:sz w:val="24"/>
          <w:sz w:val="24"/>
          <w:szCs w:val="24"/>
          <w:vertAlign w:val="baseline"/>
        </w:rPr>
      </w:r>
    </w:p>
    <w:p>
      <w:pPr>
        <w:pStyle w:val="Normal1"/>
        <w:spacing w:lineRule="auto" w:line="360"/>
        <w:ind w:firstLine="1701"/>
        <w:jc w:val="both"/>
        <w:rPr>
          <w:sz w:val="24"/>
          <w:szCs w:val="24"/>
        </w:rPr>
      </w:pPr>
      <w:r>
        <w:rPr>
          <w:rFonts w:eastAsia="Cambria" w:cs="Cambria" w:ascii="Cambria" w:hAnsi="Cambria"/>
          <w:sz w:val="24"/>
          <w:szCs w:val="24"/>
        </w:rPr>
        <w:t>Ante o</w:t>
      </w:r>
      <w:r>
        <w:rPr>
          <w:rFonts w:eastAsia="Cambria" w:cs="Cambria" w:ascii="Cambria" w:hAnsi="Cambria"/>
          <w:position w:val="0"/>
          <w:sz w:val="24"/>
          <w:sz w:val="24"/>
          <w:szCs w:val="24"/>
          <w:vertAlign w:val="baseline"/>
        </w:rPr>
        <w:t xml:space="preserve"> exposto, manifesta-se o </w:t>
      </w:r>
      <w:r>
        <w:rPr>
          <w:rFonts w:eastAsia="Cambria" w:cs="Cambria" w:ascii="Cambria" w:hAnsi="Cambria"/>
          <w:b/>
          <w:sz w:val="24"/>
          <w:szCs w:val="24"/>
        </w:rPr>
        <w:t>Ministério Público Eleitoral</w:t>
      </w:r>
      <w:r>
        <w:rPr>
          <w:rFonts w:eastAsia="Cambria" w:cs="Cambria" w:ascii="Cambria" w:hAnsi="Cambria"/>
          <w:position w:val="0"/>
          <w:sz w:val="24"/>
          <w:sz w:val="24"/>
          <w:szCs w:val="24"/>
          <w:vertAlign w:val="baseline"/>
        </w:rPr>
        <w:t xml:space="preserve"> para que sejam julgadas como </w:t>
      </w:r>
      <w:r>
        <w:rPr>
          <w:rFonts w:eastAsia="Cambria" w:cs="Cambria" w:ascii="Cambria" w:hAnsi="Cambria"/>
          <w:b/>
          <w:position w:val="0"/>
          <w:sz w:val="24"/>
          <w:sz w:val="24"/>
          <w:szCs w:val="24"/>
          <w:vertAlign w:val="baseline"/>
        </w:rPr>
        <w:t>NÃO PRESTADAS</w:t>
      </w:r>
      <w:r>
        <w:rPr>
          <w:rFonts w:eastAsia="Cambria" w:cs="Cambria" w:ascii="Cambria" w:hAnsi="Cambria"/>
          <w:position w:val="0"/>
          <w:sz w:val="24"/>
          <w:sz w:val="24"/>
          <w:szCs w:val="24"/>
          <w:vertAlign w:val="baseline"/>
        </w:rPr>
        <w:t xml:space="preserve"> as contas do Partido </w:t>
      </w:r>
      <w:r>
        <w:rPr>
          <w:rFonts w:eastAsia="Cambria" w:cs="Cambria" w:ascii="Cambria" w:hAnsi="Cambria"/>
          <w:position w:val="0"/>
          <w:sz w:val="24"/>
          <w:sz w:val="24"/>
          <w:szCs w:val="24"/>
          <w:highlight w:val="yellow"/>
          <w:vertAlign w:val="baseline"/>
        </w:rPr>
        <w:t>XXX</w:t>
      </w:r>
      <w:r>
        <w:rPr>
          <w:rFonts w:eastAsia="Cambria" w:cs="Cambria" w:ascii="Cambria" w:hAnsi="Cambria"/>
          <w:position w:val="0"/>
          <w:sz w:val="24"/>
          <w:sz w:val="24"/>
          <w:szCs w:val="24"/>
          <w:vertAlign w:val="baseline"/>
        </w:rPr>
        <w:t>, nos termos do artigo 45, inciso IV, da Resolução n. 23.604/2019, do Tribunal Superior Eleitoral, com a consequente aplicação das sanções previstas no art. 47, I e parágrafo único, da Resolução TSE n. 23.604/2019.</w:t>
      </w:r>
    </w:p>
    <w:p>
      <w:pPr>
        <w:pStyle w:val="Normal1"/>
        <w:spacing w:lineRule="auto" w:line="360"/>
        <w:ind w:firstLine="1701"/>
        <w:jc w:val="both"/>
        <w:rPr>
          <w:rFonts w:ascii="Cambria" w:hAnsi="Cambria" w:eastAsia="Cambria" w:cs="Cambria"/>
          <w:position w:val="0"/>
          <w:sz w:val="24"/>
          <w:sz w:val="24"/>
          <w:szCs w:val="24"/>
          <w:vertAlign w:val="baseline"/>
        </w:rPr>
      </w:pPr>
      <w:r>
        <w:rPr>
          <w:rFonts w:eastAsia="Cambria" w:cs="Cambria" w:ascii="Cambria" w:hAnsi="Cambria"/>
          <w:position w:val="0"/>
          <w:sz w:val="24"/>
          <w:sz w:val="24"/>
          <w:szCs w:val="24"/>
          <w:vertAlign w:val="baseline"/>
        </w:rPr>
      </w:r>
    </w:p>
    <w:p>
      <w:pPr>
        <w:pStyle w:val="Normal1"/>
        <w:spacing w:lineRule="auto" w:line="360"/>
        <w:ind w:firstLine="1701"/>
        <w:jc w:val="both"/>
        <w:rPr>
          <w:sz w:val="24"/>
          <w:szCs w:val="24"/>
        </w:rPr>
      </w:pPr>
      <w:r>
        <w:rPr>
          <w:rFonts w:eastAsia="Cambria" w:cs="Cambria" w:ascii="Cambria" w:hAnsi="Cambria"/>
          <w:position w:val="0"/>
          <w:sz w:val="24"/>
          <w:sz w:val="24"/>
          <w:szCs w:val="24"/>
          <w:vertAlign w:val="baseline"/>
        </w:rPr>
        <w:t xml:space="preserve">Por fim, após o trânsito em julgado da decisão, requer vista dos autos para os fins do art. 47, II, da Resolução TSE n. 23.604/2019, em observância </w:t>
      </w:r>
      <w:r>
        <w:rPr>
          <w:rFonts w:eastAsia="Cambria" w:cs="Cambria" w:ascii="Cambria" w:hAnsi="Cambria"/>
          <w:sz w:val="24"/>
          <w:szCs w:val="24"/>
        </w:rPr>
        <w:t>à</w:t>
      </w:r>
      <w:r>
        <w:rPr>
          <w:rFonts w:eastAsia="Cambria" w:cs="Cambria" w:ascii="Cambria" w:hAnsi="Cambria"/>
          <w:position w:val="0"/>
          <w:sz w:val="24"/>
          <w:sz w:val="24"/>
          <w:szCs w:val="24"/>
          <w:vertAlign w:val="baseline"/>
        </w:rPr>
        <w:t xml:space="preserve"> decisão do STF na ADI nº 6.032, julgada em 5.12.2019.</w:t>
      </w:r>
    </w:p>
    <w:p>
      <w:pPr>
        <w:pStyle w:val="Normal1"/>
        <w:spacing w:lineRule="auto" w:line="360"/>
        <w:ind w:firstLine="1701"/>
        <w:jc w:val="both"/>
        <w:rPr>
          <w:rFonts w:ascii="Cambria" w:hAnsi="Cambria" w:eastAsia="Cambria" w:cs="Cambria"/>
          <w:position w:val="0"/>
          <w:sz w:val="24"/>
          <w:sz w:val="24"/>
          <w:szCs w:val="24"/>
          <w:vertAlign w:val="baseline"/>
        </w:rPr>
      </w:pPr>
      <w:r>
        <w:rPr>
          <w:rFonts w:eastAsia="Cambria" w:cs="Cambria" w:ascii="Cambria" w:hAnsi="Cambria"/>
          <w:position w:val="0"/>
          <w:sz w:val="24"/>
          <w:sz w:val="24"/>
          <w:szCs w:val="24"/>
          <w:vertAlign w:val="baseline"/>
        </w:rPr>
      </w:r>
    </w:p>
    <w:p>
      <w:pPr>
        <w:pStyle w:val="Normal1"/>
        <w:spacing w:lineRule="auto" w:line="360"/>
        <w:ind w:firstLine="1701"/>
        <w:jc w:val="both"/>
        <w:rPr>
          <w:rFonts w:ascii="Cambria" w:hAnsi="Cambria" w:eastAsia="Cambria" w:cs="Cambria"/>
          <w:caps w:val="false"/>
          <w:smallCaps w:val="false"/>
          <w:position w:val="0"/>
          <w:sz w:val="24"/>
          <w:sz w:val="24"/>
          <w:szCs w:val="24"/>
          <w:vertAlign w:val="baseline"/>
        </w:rPr>
      </w:pPr>
      <w:r>
        <w:rPr>
          <w:rFonts w:eastAsia="Cambria" w:cs="Cambria" w:ascii="Cambria" w:hAnsi="Cambria"/>
          <w:caps w:val="false"/>
          <w:smallCaps w:val="false"/>
          <w:position w:val="0"/>
          <w:sz w:val="24"/>
          <w:sz w:val="24"/>
          <w:szCs w:val="24"/>
          <w:vertAlign w:val="baseline"/>
        </w:rPr>
      </w:r>
    </w:p>
    <w:p>
      <w:pPr>
        <w:pStyle w:val="Normal1"/>
        <w:spacing w:lineRule="auto" w:line="360"/>
        <w:ind w:firstLine="1701"/>
        <w:jc w:val="both"/>
        <w:rPr>
          <w:sz w:val="24"/>
          <w:szCs w:val="24"/>
        </w:rPr>
      </w:pPr>
      <w:r>
        <w:rPr>
          <w:rFonts w:eastAsia="Cambria" w:cs="Cambria" w:ascii="Cambria" w:hAnsi="Cambria"/>
          <w:sz w:val="24"/>
          <w:szCs w:val="24"/>
        </w:rPr>
        <w:t>________/TO, ___ de _______ de 2023.</w:t>
      </w:r>
    </w:p>
    <w:p>
      <w:pPr>
        <w:pStyle w:val="Normal1"/>
        <w:spacing w:lineRule="auto" w:line="36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360"/>
        <w:jc w:val="center"/>
        <w:rPr>
          <w:sz w:val="24"/>
          <w:szCs w:val="24"/>
        </w:rPr>
      </w:pPr>
      <w:r>
        <w:rPr>
          <w:rFonts w:eastAsia="Cambria" w:cs="Cambria" w:ascii="Cambria" w:hAnsi="Cambria"/>
          <w:b/>
          <w:sz w:val="24"/>
          <w:szCs w:val="24"/>
        </w:rPr>
        <w:t>XXXX</w:t>
      </w:r>
    </w:p>
    <w:p>
      <w:pPr>
        <w:pStyle w:val="Normal1"/>
        <w:spacing w:lineRule="auto" w:line="360"/>
        <w:jc w:val="center"/>
        <w:rPr>
          <w:sz w:val="24"/>
          <w:szCs w:val="24"/>
        </w:rPr>
      </w:pPr>
      <w:r>
        <w:rPr>
          <w:rFonts w:eastAsia="Cambria" w:cs="Cambria" w:ascii="Cambria" w:hAnsi="Cambria"/>
          <w:sz w:val="24"/>
          <w:szCs w:val="24"/>
        </w:rPr>
        <w:t>Promotor(a) Eleitoral</w:t>
      </w:r>
    </w:p>
    <w:p>
      <w:pPr>
        <w:pStyle w:val="Normal1"/>
        <w:spacing w:lineRule="auto" w:line="360"/>
        <w:jc w:val="center"/>
        <w:rPr>
          <w:rFonts w:ascii="Tahoma" w:hAnsi="Tahoma" w:eastAsia="Tahoma" w:cs="Tahoma"/>
          <w:sz w:val="24"/>
          <w:szCs w:val="24"/>
        </w:rPr>
      </w:pPr>
      <w:r>
        <w:rPr>
          <w:rFonts w:eastAsia="Tahoma" w:cs="Tahoma" w:ascii="Tahoma" w:hAnsi="Tahoma"/>
          <w:sz w:val="24"/>
          <w:szCs w:val="24"/>
        </w:rPr>
      </w:r>
    </w:p>
    <w:sectPr>
      <w:headerReference w:type="default" r:id="rId2"/>
      <w:footnotePr>
        <w:numFmt w:val="decimal"/>
      </w:footnotePr>
      <w:type w:val="nextPage"/>
      <w:pgSz w:w="11906" w:h="16838"/>
      <w:pgMar w:left="1701" w:right="1134" w:gutter="0" w:header="1259" w:top="3017" w:footer="0" w:bottom="85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1"/>
        <w:keepNext w:val="false"/>
        <w:keepLines w:val="false"/>
        <w:pageBreakBefore w:val="false"/>
        <w:widowControl/>
        <w:pBdr/>
        <w:shd w:val="clear" w:fill="auto"/>
        <w:spacing w:lineRule="auto" w:line="240" w:before="0" w:after="0"/>
        <w:ind w:left="0" w:right="0" w:hanging="0"/>
        <w:jc w:val="both"/>
        <w:rPr>
          <w:rFonts w:ascii="Cambria" w:hAnsi="Cambria" w:eastAsia="Cambria" w:cs="Cambria"/>
          <w:i w:val="false"/>
          <w:i w:val="false"/>
          <w:caps w:val="false"/>
          <w:smallCaps w:val="false"/>
          <w:strike w:val="false"/>
          <w:dstrike w:val="false"/>
          <w:color w:val="000000"/>
          <w:position w:val="0"/>
          <w:sz w:val="22"/>
          <w:sz w:val="22"/>
          <w:szCs w:val="22"/>
          <w:u w:val="none"/>
          <w:shd w:fill="auto" w:val="clear"/>
          <w:vertAlign w:val="baseline"/>
        </w:rPr>
      </w:pPr>
      <w:r>
        <w:rPr>
          <w:rStyle w:val="Caracteresdenotaderodap"/>
        </w:rPr>
        <w:footnoteRef/>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 xml:space="preserve"> </w:t>
      </w:r>
      <w:r>
        <w:rPr>
          <w:rFonts w:eastAsia="Cambria" w:cs="Cambria" w:ascii="Cambria" w:hAnsi="Cambria"/>
          <w:i w:val="false"/>
          <w:caps w:val="false"/>
          <w:smallCaps w:val="false"/>
          <w:strike w:val="false"/>
          <w:dstrike w:val="false"/>
          <w:color w:val="000000"/>
          <w:position w:val="0"/>
          <w:sz w:val="22"/>
          <w:sz w:val="22"/>
          <w:szCs w:val="22"/>
          <w:u w:val="none"/>
          <w:shd w:fill="auto" w:val="clear"/>
          <w:vertAlign w:val="baseline"/>
        </w:rPr>
        <w:t>No julgamento da ADI n. 6032, o STF conferiu interpretação conforme a Constituição para afastar “qualquer interpretação que permita que a sanção de suspensão do registro ou anotação do órgão partidário regional ou municipal seja aplicada de forma automática, como consequência da decisão que julga as contas não prestadas, assegurando que tal penalidade somente pode ser aplicada após decisão, com trânsito em julgado, decorrente de procedimento específico de suspensão de registro, conforme o art. 28 da Lei 9.096/1995(...)”.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Normal1">
    <w:name w:val="LO-normal"/>
    <w:qFormat/>
    <w:pPr>
      <w:widowControl/>
      <w:bidi w:val="0"/>
      <w:spacing w:before="0" w:after="0"/>
      <w:jc w:val="left"/>
    </w:pPr>
    <w:rPr>
      <w:rFonts w:ascii="Times New Roman" w:hAnsi="Times New Roman" w:eastAsia="NSimSun" w:cs="Arial"/>
      <w:color w:val="auto"/>
      <w:kern w:val="0"/>
      <w:sz w:val="20"/>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2</Pages>
  <Words>342</Words>
  <Characters>1831</Characters>
  <CharactersWithSpaces>2155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2023-06-10T16:58:40Z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